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9B268" w14:textId="2A2E8F3A" w:rsidR="00EF6051" w:rsidRPr="00CA0617" w:rsidRDefault="00EF6051" w:rsidP="0078658C">
      <w:pPr>
        <w:spacing w:after="0" w:line="240" w:lineRule="auto"/>
        <w:textAlignment w:val="baseline"/>
        <w:outlineLvl w:val="0"/>
        <w:rPr>
          <w:rFonts w:ascii="Times New Roman" w:eastAsia="Times New Roman" w:hAnsi="Times New Roman" w:cs="Times New Roman"/>
          <w:b/>
          <w:bCs/>
          <w:kern w:val="36"/>
          <w:sz w:val="32"/>
          <w:szCs w:val="32"/>
          <w14:ligatures w14:val="none"/>
        </w:rPr>
      </w:pPr>
      <w:r w:rsidRPr="00A86F53">
        <w:rPr>
          <w:rFonts w:ascii="Times New Roman" w:eastAsia="Times New Roman" w:hAnsi="Times New Roman" w:cs="Times New Roman"/>
          <w:b/>
          <w:bCs/>
          <w:kern w:val="36"/>
          <w:sz w:val="32"/>
          <w:szCs w:val="32"/>
          <w14:ligatures w14:val="none"/>
        </w:rPr>
        <w:t xml:space="preserve">Tax </w:t>
      </w:r>
      <w:r w:rsidR="00251FD5">
        <w:rPr>
          <w:rFonts w:ascii="Times New Roman" w:eastAsia="Times New Roman" w:hAnsi="Times New Roman" w:cs="Times New Roman"/>
          <w:b/>
          <w:bCs/>
          <w:kern w:val="36"/>
          <w:sz w:val="32"/>
          <w:szCs w:val="32"/>
          <w14:ligatures w14:val="none"/>
        </w:rPr>
        <w:t xml:space="preserve">Consequences of </w:t>
      </w:r>
      <w:r w:rsidRPr="00A86F53">
        <w:rPr>
          <w:rFonts w:ascii="Times New Roman" w:eastAsia="Times New Roman" w:hAnsi="Times New Roman" w:cs="Times New Roman"/>
          <w:b/>
          <w:bCs/>
          <w:kern w:val="36"/>
          <w:sz w:val="32"/>
          <w:szCs w:val="32"/>
          <w14:ligatures w14:val="none"/>
        </w:rPr>
        <w:t xml:space="preserve">Dividing </w:t>
      </w:r>
      <w:r w:rsidR="00251FD5">
        <w:rPr>
          <w:rFonts w:ascii="Times New Roman" w:eastAsia="Times New Roman" w:hAnsi="Times New Roman" w:cs="Times New Roman"/>
          <w:b/>
          <w:bCs/>
          <w:kern w:val="36"/>
          <w:sz w:val="32"/>
          <w:szCs w:val="32"/>
          <w14:ligatures w14:val="none"/>
        </w:rPr>
        <w:t>A</w:t>
      </w:r>
      <w:r w:rsidRPr="00A86F53">
        <w:rPr>
          <w:rFonts w:ascii="Times New Roman" w:eastAsia="Times New Roman" w:hAnsi="Times New Roman" w:cs="Times New Roman"/>
          <w:b/>
          <w:bCs/>
          <w:kern w:val="36"/>
          <w:sz w:val="32"/>
          <w:szCs w:val="32"/>
          <w14:ligatures w14:val="none"/>
        </w:rPr>
        <w:t xml:space="preserve">ssets </w:t>
      </w:r>
      <w:r w:rsidR="00A86F53" w:rsidRPr="00A86F53">
        <w:rPr>
          <w:rFonts w:ascii="Times New Roman" w:eastAsia="Times New Roman" w:hAnsi="Times New Roman" w:cs="Times New Roman"/>
          <w:b/>
          <w:bCs/>
          <w:kern w:val="36"/>
          <w:sz w:val="32"/>
          <w:szCs w:val="32"/>
          <w14:ligatures w14:val="none"/>
        </w:rPr>
        <w:t>in</w:t>
      </w:r>
      <w:r w:rsidR="00A86F53">
        <w:rPr>
          <w:rFonts w:ascii="Times New Roman" w:eastAsia="Times New Roman" w:hAnsi="Times New Roman" w:cs="Times New Roman"/>
          <w:b/>
          <w:bCs/>
          <w:kern w:val="36"/>
          <w:sz w:val="32"/>
          <w:szCs w:val="32"/>
          <w14:ligatures w14:val="none"/>
        </w:rPr>
        <w:t xml:space="preserve"> a Pennsylvania Divorce      </w:t>
      </w:r>
    </w:p>
    <w:p w14:paraId="211C30BB" w14:textId="4750472B" w:rsidR="00EF6051" w:rsidRPr="00EF6051" w:rsidRDefault="00A86F53" w:rsidP="00EF6051">
      <w:pPr>
        <w:shd w:val="clear" w:color="auto" w:fill="FFFFFF"/>
        <w:spacing w:before="100" w:beforeAutospacing="1" w:after="100" w:afterAutospacing="1" w:line="240" w:lineRule="auto"/>
        <w:textAlignment w:val="baseline"/>
        <w:rPr>
          <w:rFonts w:ascii="Arial" w:eastAsia="Times New Roman" w:hAnsi="Arial" w:cs="Arial"/>
          <w:color w:val="000000"/>
          <w:kern w:val="0"/>
          <w:sz w:val="23"/>
          <w:szCs w:val="23"/>
          <w14:ligatures w14:val="none"/>
        </w:rPr>
      </w:pPr>
      <w:r>
        <w:rPr>
          <w:rFonts w:ascii="Arial" w:eastAsia="Times New Roman" w:hAnsi="Arial" w:cs="Arial"/>
          <w:color w:val="000000"/>
          <w:kern w:val="0"/>
          <w:sz w:val="23"/>
          <w:szCs w:val="23"/>
          <w14:ligatures w14:val="none"/>
        </w:rPr>
        <w:t>T</w:t>
      </w:r>
      <w:r w:rsidR="00EF6051" w:rsidRPr="00EF6051">
        <w:rPr>
          <w:rFonts w:ascii="Arial" w:eastAsia="Times New Roman" w:hAnsi="Arial" w:cs="Arial"/>
          <w:color w:val="000000"/>
          <w:kern w:val="0"/>
          <w:sz w:val="23"/>
          <w:szCs w:val="23"/>
          <w14:ligatures w14:val="none"/>
        </w:rPr>
        <w:t xml:space="preserve">he tax </w:t>
      </w:r>
      <w:r w:rsidR="00251FD5">
        <w:rPr>
          <w:rFonts w:ascii="Arial" w:eastAsia="Times New Roman" w:hAnsi="Arial" w:cs="Arial"/>
          <w:color w:val="000000"/>
          <w:kern w:val="0"/>
          <w:sz w:val="23"/>
          <w:szCs w:val="23"/>
          <w14:ligatures w14:val="none"/>
        </w:rPr>
        <w:t>consequences</w:t>
      </w:r>
      <w:r w:rsidR="00EF6051" w:rsidRPr="00EF6051">
        <w:rPr>
          <w:rFonts w:ascii="Arial" w:eastAsia="Times New Roman" w:hAnsi="Arial" w:cs="Arial"/>
          <w:color w:val="000000"/>
          <w:kern w:val="0"/>
          <w:sz w:val="23"/>
          <w:szCs w:val="23"/>
          <w14:ligatures w14:val="none"/>
        </w:rPr>
        <w:t xml:space="preserve"> of dividing marital property</w:t>
      </w:r>
      <w:r>
        <w:rPr>
          <w:rFonts w:ascii="Arial" w:eastAsia="Times New Roman" w:hAnsi="Arial" w:cs="Arial"/>
          <w:color w:val="000000"/>
          <w:kern w:val="0"/>
          <w:sz w:val="23"/>
          <w:szCs w:val="23"/>
          <w14:ligatures w14:val="none"/>
        </w:rPr>
        <w:t xml:space="preserve"> </w:t>
      </w:r>
      <w:proofErr w:type="gramStart"/>
      <w:r w:rsidR="00251FD5">
        <w:rPr>
          <w:rFonts w:ascii="Arial" w:eastAsia="Times New Roman" w:hAnsi="Arial" w:cs="Arial"/>
          <w:color w:val="000000"/>
          <w:kern w:val="0"/>
          <w:sz w:val="23"/>
          <w:szCs w:val="23"/>
          <w14:ligatures w14:val="none"/>
        </w:rPr>
        <w:t>in</w:t>
      </w:r>
      <w:proofErr w:type="gramEnd"/>
      <w:r w:rsidR="00251FD5">
        <w:rPr>
          <w:rFonts w:ascii="Arial" w:eastAsia="Times New Roman" w:hAnsi="Arial" w:cs="Arial"/>
          <w:color w:val="000000"/>
          <w:kern w:val="0"/>
          <w:sz w:val="23"/>
          <w:szCs w:val="23"/>
          <w14:ligatures w14:val="none"/>
        </w:rPr>
        <w:t xml:space="preserve"> a divorce </w:t>
      </w:r>
      <w:r>
        <w:rPr>
          <w:rFonts w:ascii="Arial" w:eastAsia="Times New Roman" w:hAnsi="Arial" w:cs="Arial"/>
          <w:color w:val="000000"/>
          <w:kern w:val="0"/>
          <w:sz w:val="23"/>
          <w:szCs w:val="23"/>
          <w14:ligatures w14:val="none"/>
        </w:rPr>
        <w:t>can be complicated</w:t>
      </w:r>
      <w:r w:rsidR="00EF6051" w:rsidRPr="00EF6051">
        <w:rPr>
          <w:rFonts w:ascii="Arial" w:eastAsia="Times New Roman" w:hAnsi="Arial" w:cs="Arial"/>
          <w:color w:val="000000"/>
          <w:kern w:val="0"/>
          <w:sz w:val="23"/>
          <w:szCs w:val="23"/>
          <w14:ligatures w14:val="none"/>
        </w:rPr>
        <w:t>.</w:t>
      </w:r>
      <w:r>
        <w:rPr>
          <w:rFonts w:ascii="Arial" w:eastAsia="Times New Roman" w:hAnsi="Arial" w:cs="Arial"/>
          <w:color w:val="000000"/>
          <w:kern w:val="0"/>
          <w:sz w:val="23"/>
          <w:szCs w:val="23"/>
          <w14:ligatures w14:val="none"/>
        </w:rPr>
        <w:t xml:space="preserve">  </w:t>
      </w:r>
      <w:r w:rsidR="00EF6051" w:rsidRPr="00EF6051">
        <w:rPr>
          <w:rFonts w:ascii="Arial" w:eastAsia="Times New Roman" w:hAnsi="Arial" w:cs="Arial"/>
          <w:color w:val="000000"/>
          <w:kern w:val="0"/>
          <w:sz w:val="23"/>
          <w:szCs w:val="23"/>
          <w14:ligatures w14:val="none"/>
        </w:rPr>
        <w:t xml:space="preserve"> </w:t>
      </w:r>
      <w:r>
        <w:rPr>
          <w:rFonts w:ascii="Arial" w:eastAsia="Times New Roman" w:hAnsi="Arial" w:cs="Arial"/>
          <w:color w:val="000000"/>
          <w:kern w:val="0"/>
          <w:sz w:val="23"/>
          <w:szCs w:val="23"/>
          <w14:ligatures w14:val="none"/>
        </w:rPr>
        <w:t xml:space="preserve">Internal Revenue Code (IRC) </w:t>
      </w:r>
      <w:r w:rsidR="00EF6051" w:rsidRPr="00EF6051">
        <w:rPr>
          <w:rFonts w:ascii="Arial" w:eastAsia="Times New Roman" w:hAnsi="Arial" w:cs="Arial"/>
          <w:color w:val="000000"/>
          <w:kern w:val="0"/>
          <w:sz w:val="23"/>
          <w:szCs w:val="23"/>
          <w14:ligatures w14:val="none"/>
        </w:rPr>
        <w:t>Sec</w:t>
      </w:r>
      <w:r>
        <w:rPr>
          <w:rFonts w:ascii="Arial" w:eastAsia="Times New Roman" w:hAnsi="Arial" w:cs="Arial"/>
          <w:color w:val="000000"/>
          <w:kern w:val="0"/>
          <w:sz w:val="23"/>
          <w:szCs w:val="23"/>
          <w14:ligatures w14:val="none"/>
        </w:rPr>
        <w:t>tion</w:t>
      </w:r>
      <w:r w:rsidR="00EF6051" w:rsidRPr="00EF6051">
        <w:rPr>
          <w:rFonts w:ascii="Arial" w:eastAsia="Times New Roman" w:hAnsi="Arial" w:cs="Arial"/>
          <w:color w:val="000000"/>
          <w:kern w:val="0"/>
          <w:sz w:val="23"/>
          <w:szCs w:val="23"/>
          <w14:ligatures w14:val="none"/>
        </w:rPr>
        <w:t xml:space="preserve"> 1041 provides that no gain or loss is recognized on the transfer of property between spouses. Transfers that qualify under Sec</w:t>
      </w:r>
      <w:r>
        <w:rPr>
          <w:rFonts w:ascii="Arial" w:eastAsia="Times New Roman" w:hAnsi="Arial" w:cs="Arial"/>
          <w:color w:val="000000"/>
          <w:kern w:val="0"/>
          <w:sz w:val="23"/>
          <w:szCs w:val="23"/>
          <w14:ligatures w14:val="none"/>
        </w:rPr>
        <w:t>tion</w:t>
      </w:r>
      <w:r w:rsidR="00EF6051" w:rsidRPr="00EF6051">
        <w:rPr>
          <w:rFonts w:ascii="Arial" w:eastAsia="Times New Roman" w:hAnsi="Arial" w:cs="Arial"/>
          <w:color w:val="000000"/>
          <w:kern w:val="0"/>
          <w:sz w:val="23"/>
          <w:szCs w:val="23"/>
          <w14:ligatures w14:val="none"/>
        </w:rPr>
        <w:t xml:space="preserve"> 1041 do not have to recognize gain or loss for income tax purposes, and the transferee spouse receives carryover basis like a gift. Sec</w:t>
      </w:r>
      <w:r>
        <w:rPr>
          <w:rFonts w:ascii="Arial" w:eastAsia="Times New Roman" w:hAnsi="Arial" w:cs="Arial"/>
          <w:color w:val="000000"/>
          <w:kern w:val="0"/>
          <w:sz w:val="23"/>
          <w:szCs w:val="23"/>
          <w14:ligatures w14:val="none"/>
        </w:rPr>
        <w:t>tion</w:t>
      </w:r>
      <w:r w:rsidR="00EF6051" w:rsidRPr="00EF6051">
        <w:rPr>
          <w:rFonts w:ascii="Arial" w:eastAsia="Times New Roman" w:hAnsi="Arial" w:cs="Arial"/>
          <w:color w:val="000000"/>
          <w:kern w:val="0"/>
          <w:sz w:val="23"/>
          <w:szCs w:val="23"/>
          <w14:ligatures w14:val="none"/>
        </w:rPr>
        <w:t xml:space="preserve"> 1041’s nonrecognition rule applies to transfers between married partners who are not contemplating divorce and, in addition, extends to transfers that are incident to divorce. “Incident to divorce” is defined in Sec</w:t>
      </w:r>
      <w:r>
        <w:rPr>
          <w:rFonts w:ascii="Arial" w:eastAsia="Times New Roman" w:hAnsi="Arial" w:cs="Arial"/>
          <w:color w:val="000000"/>
          <w:kern w:val="0"/>
          <w:sz w:val="23"/>
          <w:szCs w:val="23"/>
          <w14:ligatures w14:val="none"/>
        </w:rPr>
        <w:t>tion</w:t>
      </w:r>
      <w:r w:rsidR="00EF6051" w:rsidRPr="00EF6051">
        <w:rPr>
          <w:rFonts w:ascii="Arial" w:eastAsia="Times New Roman" w:hAnsi="Arial" w:cs="Arial"/>
          <w:color w:val="000000"/>
          <w:kern w:val="0"/>
          <w:sz w:val="23"/>
          <w:szCs w:val="23"/>
          <w14:ligatures w14:val="none"/>
        </w:rPr>
        <w:t xml:space="preserve"> 1041(c) as a transfer that occurs within one year after the date on which the marriage ceases or that is related to the cessation of the marriage. Temp. Regs. Sec</w:t>
      </w:r>
      <w:r>
        <w:rPr>
          <w:rFonts w:ascii="Arial" w:eastAsia="Times New Roman" w:hAnsi="Arial" w:cs="Arial"/>
          <w:color w:val="000000"/>
          <w:kern w:val="0"/>
          <w:sz w:val="23"/>
          <w:szCs w:val="23"/>
          <w14:ligatures w14:val="none"/>
        </w:rPr>
        <w:t>tion</w:t>
      </w:r>
      <w:r w:rsidR="00EF6051" w:rsidRPr="00EF6051">
        <w:rPr>
          <w:rFonts w:ascii="Arial" w:eastAsia="Times New Roman" w:hAnsi="Arial" w:cs="Arial"/>
          <w:color w:val="000000"/>
          <w:kern w:val="0"/>
          <w:sz w:val="23"/>
          <w:szCs w:val="23"/>
          <w14:ligatures w14:val="none"/>
        </w:rPr>
        <w:t xml:space="preserve"> 1.1041-1T further defines the term “related to cessation of the marriage” to be a transfer pursuant to a divorce or separation instrument, if the transfer occurs within six years after the date on which the marriage ceases. </w:t>
      </w:r>
      <w:proofErr w:type="gramStart"/>
      <w:r>
        <w:rPr>
          <w:rFonts w:ascii="Arial" w:eastAsia="Times New Roman" w:hAnsi="Arial" w:cs="Arial"/>
          <w:color w:val="000000"/>
          <w:kern w:val="0"/>
          <w:sz w:val="23"/>
          <w:szCs w:val="23"/>
          <w14:ligatures w14:val="none"/>
        </w:rPr>
        <w:t>However</w:t>
      </w:r>
      <w:proofErr w:type="gramEnd"/>
      <w:r>
        <w:rPr>
          <w:rFonts w:ascii="Arial" w:eastAsia="Times New Roman" w:hAnsi="Arial" w:cs="Arial"/>
          <w:color w:val="000000"/>
          <w:kern w:val="0"/>
          <w:sz w:val="23"/>
          <w:szCs w:val="23"/>
          <w14:ligatures w14:val="none"/>
        </w:rPr>
        <w:t xml:space="preserve"> keep in mind</w:t>
      </w:r>
      <w:r w:rsidR="00EF6051" w:rsidRPr="00EF6051">
        <w:rPr>
          <w:rFonts w:ascii="Arial" w:eastAsia="Times New Roman" w:hAnsi="Arial" w:cs="Arial"/>
          <w:color w:val="000000"/>
          <w:kern w:val="0"/>
          <w:sz w:val="23"/>
          <w:szCs w:val="23"/>
          <w14:ligatures w14:val="none"/>
        </w:rPr>
        <w:t xml:space="preserve"> Sec</w:t>
      </w:r>
      <w:r>
        <w:rPr>
          <w:rFonts w:ascii="Arial" w:eastAsia="Times New Roman" w:hAnsi="Arial" w:cs="Arial"/>
          <w:color w:val="000000"/>
          <w:kern w:val="0"/>
          <w:sz w:val="23"/>
          <w:szCs w:val="23"/>
          <w14:ligatures w14:val="none"/>
        </w:rPr>
        <w:t>tion</w:t>
      </w:r>
      <w:r w:rsidR="00EF6051" w:rsidRPr="00EF6051">
        <w:rPr>
          <w:rFonts w:ascii="Arial" w:eastAsia="Times New Roman" w:hAnsi="Arial" w:cs="Arial"/>
          <w:color w:val="000000"/>
          <w:kern w:val="0"/>
          <w:sz w:val="23"/>
          <w:szCs w:val="23"/>
          <w14:ligatures w14:val="none"/>
        </w:rPr>
        <w:t xml:space="preserve"> 1041’s nonrecognition rule does not apply to transfers made to nonresident alien spouses or to transfers in trust where liability exceeds </w:t>
      </w:r>
      <w:proofErr w:type="gramStart"/>
      <w:r w:rsidR="00EF6051" w:rsidRPr="00EF6051">
        <w:rPr>
          <w:rFonts w:ascii="Arial" w:eastAsia="Times New Roman" w:hAnsi="Arial" w:cs="Arial"/>
          <w:color w:val="000000"/>
          <w:kern w:val="0"/>
          <w:sz w:val="23"/>
          <w:szCs w:val="23"/>
          <w14:ligatures w14:val="none"/>
        </w:rPr>
        <w:t>basis</w:t>
      </w:r>
      <w:proofErr w:type="gramEnd"/>
      <w:r w:rsidR="00EF6051" w:rsidRPr="00EF6051">
        <w:rPr>
          <w:rFonts w:ascii="Arial" w:eastAsia="Times New Roman" w:hAnsi="Arial" w:cs="Arial"/>
          <w:color w:val="000000"/>
          <w:kern w:val="0"/>
          <w:sz w:val="23"/>
          <w:szCs w:val="23"/>
          <w14:ligatures w14:val="none"/>
        </w:rPr>
        <w:t>.</w:t>
      </w:r>
    </w:p>
    <w:p w14:paraId="51863C84" w14:textId="403BFBE8" w:rsidR="00EF6051" w:rsidRPr="00EF6051" w:rsidRDefault="00EF6051" w:rsidP="00EF6051">
      <w:pPr>
        <w:shd w:val="clear" w:color="auto" w:fill="FFFFFF"/>
        <w:spacing w:before="100" w:beforeAutospacing="1" w:after="100" w:afterAutospacing="1" w:line="240" w:lineRule="auto"/>
        <w:textAlignment w:val="baseline"/>
        <w:rPr>
          <w:rFonts w:ascii="Arial" w:eastAsia="Times New Roman" w:hAnsi="Arial" w:cs="Arial"/>
          <w:color w:val="000000"/>
          <w:kern w:val="0"/>
          <w:sz w:val="23"/>
          <w:szCs w:val="23"/>
          <w14:ligatures w14:val="none"/>
        </w:rPr>
      </w:pPr>
      <w:r w:rsidRPr="00EF6051">
        <w:rPr>
          <w:rFonts w:ascii="Arial" w:eastAsia="Times New Roman" w:hAnsi="Arial" w:cs="Arial"/>
          <w:color w:val="000000"/>
          <w:kern w:val="0"/>
          <w:sz w:val="23"/>
          <w:szCs w:val="23"/>
          <w14:ligatures w14:val="none"/>
        </w:rPr>
        <w:t>Considering Sec</w:t>
      </w:r>
      <w:r w:rsidR="00A86F53">
        <w:rPr>
          <w:rFonts w:ascii="Arial" w:eastAsia="Times New Roman" w:hAnsi="Arial" w:cs="Arial"/>
          <w:color w:val="000000"/>
          <w:kern w:val="0"/>
          <w:sz w:val="23"/>
          <w:szCs w:val="23"/>
          <w14:ligatures w14:val="none"/>
        </w:rPr>
        <w:t>tion</w:t>
      </w:r>
      <w:r w:rsidRPr="00EF6051">
        <w:rPr>
          <w:rFonts w:ascii="Arial" w:eastAsia="Times New Roman" w:hAnsi="Arial" w:cs="Arial"/>
          <w:color w:val="000000"/>
          <w:kern w:val="0"/>
          <w:sz w:val="23"/>
          <w:szCs w:val="23"/>
          <w14:ligatures w14:val="none"/>
        </w:rPr>
        <w:t xml:space="preserve"> 1041’s nonrecognition rule as well as the unlimited marital deduction for federal estate and gift tax purposes allowed under </w:t>
      </w:r>
      <w:r w:rsidR="00CA0617">
        <w:rPr>
          <w:rFonts w:ascii="Arial" w:eastAsia="Times New Roman" w:hAnsi="Arial" w:cs="Arial"/>
          <w:color w:val="000000"/>
          <w:kern w:val="0"/>
          <w:sz w:val="23"/>
          <w:szCs w:val="23"/>
          <w14:ligatures w14:val="none"/>
        </w:rPr>
        <w:t>Section</w:t>
      </w:r>
      <w:r w:rsidRPr="00EF6051">
        <w:rPr>
          <w:rFonts w:ascii="Arial" w:eastAsia="Times New Roman" w:hAnsi="Arial" w:cs="Arial"/>
          <w:color w:val="000000"/>
          <w:kern w:val="0"/>
          <w:sz w:val="23"/>
          <w:szCs w:val="23"/>
          <w14:ligatures w14:val="none"/>
        </w:rPr>
        <w:t xml:space="preserve"> 2523 for gifts of cash and property to a spouse, most property transfers in divorce will likely be nontaxable transfers.</w:t>
      </w:r>
    </w:p>
    <w:p w14:paraId="25CC7D57" w14:textId="03867D26" w:rsidR="00EF6051" w:rsidRPr="00EF6051" w:rsidRDefault="00EF6051" w:rsidP="00EF6051">
      <w:pPr>
        <w:shd w:val="clear" w:color="auto" w:fill="FFFFFF"/>
        <w:spacing w:before="100" w:beforeAutospacing="1" w:after="100" w:afterAutospacing="1" w:line="240" w:lineRule="auto"/>
        <w:textAlignment w:val="baseline"/>
        <w:rPr>
          <w:rFonts w:ascii="Arial" w:eastAsia="Times New Roman" w:hAnsi="Arial" w:cs="Arial"/>
          <w:color w:val="000000"/>
          <w:kern w:val="0"/>
          <w:sz w:val="23"/>
          <w:szCs w:val="23"/>
          <w14:ligatures w14:val="none"/>
        </w:rPr>
      </w:pPr>
      <w:r w:rsidRPr="00EF6051">
        <w:rPr>
          <w:rFonts w:ascii="Arial" w:eastAsia="Times New Roman" w:hAnsi="Arial" w:cs="Arial"/>
          <w:color w:val="000000"/>
          <w:kern w:val="0"/>
          <w:sz w:val="23"/>
          <w:szCs w:val="23"/>
          <w14:ligatures w14:val="none"/>
        </w:rPr>
        <w:t>With the presumption that any transfer within six years from the date of divorce</w:t>
      </w:r>
      <w:r w:rsidR="0078658C">
        <w:rPr>
          <w:rFonts w:ascii="Arial" w:eastAsia="Times New Roman" w:hAnsi="Arial" w:cs="Arial"/>
          <w:color w:val="000000"/>
          <w:kern w:val="0"/>
          <w:sz w:val="23"/>
          <w:szCs w:val="23"/>
          <w14:ligatures w14:val="none"/>
        </w:rPr>
        <w:t xml:space="preserve">, </w:t>
      </w:r>
      <w:r w:rsidRPr="00EF6051">
        <w:rPr>
          <w:rFonts w:ascii="Arial" w:eastAsia="Times New Roman" w:hAnsi="Arial" w:cs="Arial"/>
          <w:color w:val="000000"/>
          <w:kern w:val="0"/>
          <w:sz w:val="23"/>
          <w:szCs w:val="23"/>
          <w14:ligatures w14:val="none"/>
        </w:rPr>
        <w:t xml:space="preserve">assuming it is under a divorce or separation </w:t>
      </w:r>
      <w:r w:rsidR="00A86F53">
        <w:rPr>
          <w:rFonts w:ascii="Arial" w:eastAsia="Times New Roman" w:hAnsi="Arial" w:cs="Arial"/>
          <w:color w:val="000000"/>
          <w:kern w:val="0"/>
          <w:sz w:val="23"/>
          <w:szCs w:val="23"/>
          <w14:ligatures w14:val="none"/>
        </w:rPr>
        <w:t>agreement</w:t>
      </w:r>
      <w:r w:rsidRPr="00EF6051">
        <w:rPr>
          <w:rFonts w:ascii="Arial" w:eastAsia="Times New Roman" w:hAnsi="Arial" w:cs="Arial"/>
          <w:color w:val="000000"/>
          <w:kern w:val="0"/>
          <w:sz w:val="23"/>
          <w:szCs w:val="23"/>
          <w14:ligatures w14:val="none"/>
        </w:rPr>
        <w:t xml:space="preserve"> is treated as nontaxable under </w:t>
      </w:r>
      <w:r w:rsidR="00CA0617">
        <w:rPr>
          <w:rFonts w:ascii="Arial" w:eastAsia="Times New Roman" w:hAnsi="Arial" w:cs="Arial"/>
          <w:color w:val="000000"/>
          <w:kern w:val="0"/>
          <w:sz w:val="23"/>
          <w:szCs w:val="23"/>
          <w14:ligatures w14:val="none"/>
        </w:rPr>
        <w:t>Section</w:t>
      </w:r>
      <w:r w:rsidRPr="00EF6051">
        <w:rPr>
          <w:rFonts w:ascii="Arial" w:eastAsia="Times New Roman" w:hAnsi="Arial" w:cs="Arial"/>
          <w:color w:val="000000"/>
          <w:kern w:val="0"/>
          <w:sz w:val="23"/>
          <w:szCs w:val="23"/>
          <w14:ligatures w14:val="none"/>
        </w:rPr>
        <w:t xml:space="preserve"> 1041</w:t>
      </w:r>
      <w:r w:rsidR="0078658C">
        <w:rPr>
          <w:rFonts w:ascii="Arial" w:eastAsia="Times New Roman" w:hAnsi="Arial" w:cs="Arial"/>
          <w:color w:val="000000"/>
          <w:kern w:val="0"/>
          <w:sz w:val="23"/>
          <w:szCs w:val="23"/>
          <w14:ligatures w14:val="none"/>
        </w:rPr>
        <w:t>.</w:t>
      </w:r>
      <w:r w:rsidR="000320A2">
        <w:rPr>
          <w:rFonts w:ascii="Arial" w:eastAsia="Times New Roman" w:hAnsi="Arial" w:cs="Arial"/>
          <w:color w:val="000000"/>
          <w:kern w:val="0"/>
          <w:sz w:val="23"/>
          <w:szCs w:val="23"/>
          <w14:ligatures w14:val="none"/>
        </w:rPr>
        <w:t xml:space="preserve">  </w:t>
      </w:r>
      <w:r w:rsidRPr="00EF6051">
        <w:rPr>
          <w:rFonts w:ascii="Arial" w:eastAsia="Times New Roman" w:hAnsi="Arial" w:cs="Arial"/>
          <w:color w:val="000000"/>
          <w:kern w:val="0"/>
          <w:sz w:val="23"/>
          <w:szCs w:val="23"/>
          <w14:ligatures w14:val="none"/>
        </w:rPr>
        <w:t xml:space="preserve">In IRS Letter Ruling 8833018, this became evident when the husband was awarded </w:t>
      </w:r>
      <w:proofErr w:type="gramStart"/>
      <w:r w:rsidRPr="00EF6051">
        <w:rPr>
          <w:rFonts w:ascii="Arial" w:eastAsia="Times New Roman" w:hAnsi="Arial" w:cs="Arial"/>
          <w:color w:val="000000"/>
          <w:kern w:val="0"/>
          <w:sz w:val="23"/>
          <w:szCs w:val="23"/>
          <w14:ligatures w14:val="none"/>
        </w:rPr>
        <w:t>a right</w:t>
      </w:r>
      <w:proofErr w:type="gramEnd"/>
      <w:r w:rsidRPr="00EF6051">
        <w:rPr>
          <w:rFonts w:ascii="Arial" w:eastAsia="Times New Roman" w:hAnsi="Arial" w:cs="Arial"/>
          <w:color w:val="000000"/>
          <w:kern w:val="0"/>
          <w:sz w:val="23"/>
          <w:szCs w:val="23"/>
          <w14:ligatures w14:val="none"/>
        </w:rPr>
        <w:t xml:space="preserve"> of first refusal to acquire the family home that was awarded to the wife. This right of first refusal was exercised within the six-year time frame, and the husband “purchased” the home from his former spouse. The IRS indicated that it was not a purchase and sale but a nontaxable transfer under </w:t>
      </w:r>
      <w:r w:rsidR="00CA0617">
        <w:rPr>
          <w:rFonts w:ascii="Arial" w:eastAsia="Times New Roman" w:hAnsi="Arial" w:cs="Arial"/>
          <w:color w:val="000000"/>
          <w:kern w:val="0"/>
          <w:sz w:val="23"/>
          <w:szCs w:val="23"/>
          <w14:ligatures w14:val="none"/>
        </w:rPr>
        <w:t>Section</w:t>
      </w:r>
      <w:r w:rsidRPr="00EF6051">
        <w:rPr>
          <w:rFonts w:ascii="Arial" w:eastAsia="Times New Roman" w:hAnsi="Arial" w:cs="Arial"/>
          <w:color w:val="000000"/>
          <w:kern w:val="0"/>
          <w:sz w:val="23"/>
          <w:szCs w:val="23"/>
          <w14:ligatures w14:val="none"/>
        </w:rPr>
        <w:t xml:space="preserve"> 1041. This resulted in the wife’s receiving nontaxable cash from the “sale” of the home and the husband’s receiving the home with the wife’s</w:t>
      </w:r>
      <w:r w:rsidR="000320A2">
        <w:rPr>
          <w:rFonts w:ascii="Arial" w:eastAsia="Times New Roman" w:hAnsi="Arial" w:cs="Arial"/>
          <w:color w:val="000000"/>
          <w:kern w:val="0"/>
          <w:sz w:val="23"/>
          <w:szCs w:val="23"/>
          <w14:ligatures w14:val="none"/>
        </w:rPr>
        <w:t xml:space="preserve"> cost</w:t>
      </w:r>
      <w:r w:rsidRPr="00EF6051">
        <w:rPr>
          <w:rFonts w:ascii="Arial" w:eastAsia="Times New Roman" w:hAnsi="Arial" w:cs="Arial"/>
          <w:color w:val="000000"/>
          <w:kern w:val="0"/>
          <w:sz w:val="23"/>
          <w:szCs w:val="23"/>
          <w14:ligatures w14:val="none"/>
        </w:rPr>
        <w:t xml:space="preserve"> </w:t>
      </w:r>
      <w:proofErr w:type="gramStart"/>
      <w:r w:rsidRPr="00EF6051">
        <w:rPr>
          <w:rFonts w:ascii="Arial" w:eastAsia="Times New Roman" w:hAnsi="Arial" w:cs="Arial"/>
          <w:color w:val="000000"/>
          <w:kern w:val="0"/>
          <w:sz w:val="23"/>
          <w:szCs w:val="23"/>
          <w14:ligatures w14:val="none"/>
        </w:rPr>
        <w:t>basis</w:t>
      </w:r>
      <w:proofErr w:type="gramEnd"/>
      <w:r w:rsidR="000320A2">
        <w:rPr>
          <w:rFonts w:ascii="Arial" w:eastAsia="Times New Roman" w:hAnsi="Arial" w:cs="Arial"/>
          <w:color w:val="000000"/>
          <w:kern w:val="0"/>
          <w:sz w:val="23"/>
          <w:szCs w:val="23"/>
          <w14:ligatures w14:val="none"/>
        </w:rPr>
        <w:t xml:space="preserve"> which was lower the purchase price, </w:t>
      </w:r>
      <w:r w:rsidRPr="00EF6051">
        <w:rPr>
          <w:rFonts w:ascii="Arial" w:eastAsia="Times New Roman" w:hAnsi="Arial" w:cs="Arial"/>
          <w:color w:val="000000"/>
          <w:kern w:val="0"/>
          <w:sz w:val="23"/>
          <w:szCs w:val="23"/>
          <w14:ligatures w14:val="none"/>
        </w:rPr>
        <w:t>likely not the result he was hoping for.</w:t>
      </w:r>
    </w:p>
    <w:p w14:paraId="30F14B9F" w14:textId="6E680D88" w:rsidR="00EF6051" w:rsidRPr="00EF6051" w:rsidRDefault="00EF6051" w:rsidP="00EF6051">
      <w:pPr>
        <w:shd w:val="clear" w:color="auto" w:fill="FFFFFF"/>
        <w:spacing w:before="100" w:beforeAutospacing="1" w:after="100" w:afterAutospacing="1" w:line="240" w:lineRule="auto"/>
        <w:textAlignment w:val="baseline"/>
        <w:rPr>
          <w:rFonts w:ascii="Arial" w:eastAsia="Times New Roman" w:hAnsi="Arial" w:cs="Arial"/>
          <w:color w:val="000000"/>
          <w:kern w:val="0"/>
          <w:sz w:val="23"/>
          <w:szCs w:val="23"/>
          <w14:ligatures w14:val="none"/>
        </w:rPr>
      </w:pPr>
      <w:r w:rsidRPr="00EF6051">
        <w:rPr>
          <w:rFonts w:ascii="Arial" w:eastAsia="Times New Roman" w:hAnsi="Arial" w:cs="Arial"/>
          <w:color w:val="000000"/>
          <w:kern w:val="0"/>
          <w:sz w:val="23"/>
          <w:szCs w:val="23"/>
          <w14:ligatures w14:val="none"/>
        </w:rPr>
        <w:t>Being able to qualify for nonrecognition of income under Sec</w:t>
      </w:r>
      <w:r w:rsidR="0078658C">
        <w:rPr>
          <w:rFonts w:ascii="Arial" w:eastAsia="Times New Roman" w:hAnsi="Arial" w:cs="Arial"/>
          <w:color w:val="000000"/>
          <w:kern w:val="0"/>
          <w:sz w:val="23"/>
          <w:szCs w:val="23"/>
          <w14:ligatures w14:val="none"/>
        </w:rPr>
        <w:t>tion</w:t>
      </w:r>
      <w:r w:rsidRPr="00EF6051">
        <w:rPr>
          <w:rFonts w:ascii="Arial" w:eastAsia="Times New Roman" w:hAnsi="Arial" w:cs="Arial"/>
          <w:color w:val="000000"/>
          <w:kern w:val="0"/>
          <w:sz w:val="23"/>
          <w:szCs w:val="23"/>
          <w14:ligatures w14:val="none"/>
        </w:rPr>
        <w:t xml:space="preserve"> 1041 at the time of a divorce makes the division of assets much easier but leads to certain longer-term tax consequences. Since the assets have carryover basis, the potential tax liability has only been deferred. Looking at the potential tax liability of all the assets that are being divided from the marital </w:t>
      </w:r>
      <w:r w:rsidR="0078658C">
        <w:rPr>
          <w:rFonts w:ascii="Arial" w:eastAsia="Times New Roman" w:hAnsi="Arial" w:cs="Arial"/>
          <w:color w:val="000000"/>
          <w:kern w:val="0"/>
          <w:sz w:val="23"/>
          <w:szCs w:val="23"/>
          <w14:ligatures w14:val="none"/>
        </w:rPr>
        <w:t>estate</w:t>
      </w:r>
      <w:r w:rsidRPr="00EF6051">
        <w:rPr>
          <w:rFonts w:ascii="Arial" w:eastAsia="Times New Roman" w:hAnsi="Arial" w:cs="Arial"/>
          <w:color w:val="000000"/>
          <w:kern w:val="0"/>
          <w:sz w:val="23"/>
          <w:szCs w:val="23"/>
          <w14:ligatures w14:val="none"/>
        </w:rPr>
        <w:t xml:space="preserve"> can help to make the asset division more equitable as well as eliminate potential surprises for the parties later.</w:t>
      </w:r>
    </w:p>
    <w:p w14:paraId="6747E96E" w14:textId="6DC71928" w:rsidR="0078658C" w:rsidRDefault="00EF6051" w:rsidP="00EF6051">
      <w:pPr>
        <w:shd w:val="clear" w:color="auto" w:fill="FFFFFF"/>
        <w:spacing w:before="100" w:beforeAutospacing="1" w:after="100" w:afterAutospacing="1" w:line="240" w:lineRule="auto"/>
        <w:textAlignment w:val="baseline"/>
        <w:rPr>
          <w:rFonts w:ascii="Arial" w:eastAsia="Times New Roman" w:hAnsi="Arial" w:cs="Arial"/>
          <w:color w:val="000000"/>
          <w:kern w:val="0"/>
          <w:sz w:val="23"/>
          <w:szCs w:val="23"/>
          <w14:ligatures w14:val="none"/>
        </w:rPr>
      </w:pPr>
      <w:r w:rsidRPr="00EF6051">
        <w:rPr>
          <w:rFonts w:ascii="Arial" w:eastAsia="Times New Roman" w:hAnsi="Arial" w:cs="Arial"/>
          <w:color w:val="000000"/>
          <w:kern w:val="0"/>
          <w:sz w:val="23"/>
          <w:szCs w:val="23"/>
          <w14:ligatures w14:val="none"/>
        </w:rPr>
        <w:t xml:space="preserve">Since any asset received will have carryover basis, it is important to obtain the basis information as soon as possible. Temp. Regs. </w:t>
      </w:r>
      <w:r w:rsidR="00CA0617">
        <w:rPr>
          <w:rFonts w:ascii="Arial" w:eastAsia="Times New Roman" w:hAnsi="Arial" w:cs="Arial"/>
          <w:color w:val="000000"/>
          <w:kern w:val="0"/>
          <w:sz w:val="23"/>
          <w:szCs w:val="23"/>
          <w14:ligatures w14:val="none"/>
        </w:rPr>
        <w:t>Section</w:t>
      </w:r>
      <w:r w:rsidRPr="00EF6051">
        <w:rPr>
          <w:rFonts w:ascii="Arial" w:eastAsia="Times New Roman" w:hAnsi="Arial" w:cs="Arial"/>
          <w:color w:val="000000"/>
          <w:kern w:val="0"/>
          <w:sz w:val="23"/>
          <w:szCs w:val="23"/>
          <w14:ligatures w14:val="none"/>
        </w:rPr>
        <w:t xml:space="preserve"> 1.1041-1T indicates that the transferor of property under Sec</w:t>
      </w:r>
      <w:r w:rsidR="0078658C">
        <w:rPr>
          <w:rFonts w:ascii="Arial" w:eastAsia="Times New Roman" w:hAnsi="Arial" w:cs="Arial"/>
          <w:color w:val="000000"/>
          <w:kern w:val="0"/>
          <w:sz w:val="23"/>
          <w:szCs w:val="23"/>
          <w14:ligatures w14:val="none"/>
        </w:rPr>
        <w:t>tion</w:t>
      </w:r>
      <w:r w:rsidRPr="00EF6051">
        <w:rPr>
          <w:rFonts w:ascii="Arial" w:eastAsia="Times New Roman" w:hAnsi="Arial" w:cs="Arial"/>
          <w:color w:val="000000"/>
          <w:kern w:val="0"/>
          <w:sz w:val="23"/>
          <w:szCs w:val="23"/>
          <w14:ligatures w14:val="none"/>
        </w:rPr>
        <w:t xml:space="preserve"> 1041 must provide the transferee with sufficient records to determine the cost basis, holding period, and other tax information relating to the property at the time of the transfer. An adviser should recommend that a transferee spouse try to obtain this before the divorce is finalized</w:t>
      </w:r>
      <w:r w:rsidR="0078658C">
        <w:rPr>
          <w:rFonts w:ascii="Arial" w:eastAsia="Times New Roman" w:hAnsi="Arial" w:cs="Arial"/>
          <w:color w:val="000000"/>
          <w:kern w:val="0"/>
          <w:sz w:val="23"/>
          <w:szCs w:val="23"/>
          <w14:ligatures w14:val="none"/>
        </w:rPr>
        <w:t xml:space="preserve"> or </w:t>
      </w:r>
      <w:proofErr w:type="gramStart"/>
      <w:r w:rsidR="0078658C">
        <w:rPr>
          <w:rFonts w:ascii="Arial" w:eastAsia="Times New Roman" w:hAnsi="Arial" w:cs="Arial"/>
          <w:color w:val="000000"/>
          <w:kern w:val="0"/>
          <w:sz w:val="23"/>
          <w:szCs w:val="23"/>
          <w14:ligatures w14:val="none"/>
        </w:rPr>
        <w:t>require</w:t>
      </w:r>
      <w:proofErr w:type="gramEnd"/>
      <w:r w:rsidR="0078658C">
        <w:rPr>
          <w:rFonts w:ascii="Arial" w:eastAsia="Times New Roman" w:hAnsi="Arial" w:cs="Arial"/>
          <w:color w:val="000000"/>
          <w:kern w:val="0"/>
          <w:sz w:val="23"/>
          <w:szCs w:val="23"/>
          <w14:ligatures w14:val="none"/>
        </w:rPr>
        <w:t xml:space="preserve"> it be provided in the future in the final settlement agreement to ensure compliance.  </w:t>
      </w:r>
    </w:p>
    <w:p w14:paraId="33EEE482" w14:textId="320D496C" w:rsidR="00EF6051" w:rsidRPr="00EF6051" w:rsidRDefault="00EF6051" w:rsidP="00EF6051">
      <w:pPr>
        <w:shd w:val="clear" w:color="auto" w:fill="FFFFFF"/>
        <w:spacing w:before="100" w:beforeAutospacing="1" w:after="100" w:afterAutospacing="1" w:line="240" w:lineRule="auto"/>
        <w:textAlignment w:val="baseline"/>
        <w:rPr>
          <w:rFonts w:ascii="Arial" w:eastAsia="Times New Roman" w:hAnsi="Arial" w:cs="Arial"/>
          <w:color w:val="000000"/>
          <w:kern w:val="0"/>
          <w:sz w:val="23"/>
          <w:szCs w:val="23"/>
          <w14:ligatures w14:val="none"/>
        </w:rPr>
      </w:pPr>
      <w:r w:rsidRPr="00EF6051">
        <w:rPr>
          <w:rFonts w:ascii="Arial" w:eastAsia="Times New Roman" w:hAnsi="Arial" w:cs="Arial"/>
          <w:color w:val="000000"/>
          <w:kern w:val="0"/>
          <w:sz w:val="23"/>
          <w:szCs w:val="23"/>
          <w14:ligatures w14:val="none"/>
        </w:rPr>
        <w:lastRenderedPageBreak/>
        <w:t>By having the cost basis prior to the final dissolution,</w:t>
      </w:r>
      <w:r w:rsidR="0078658C">
        <w:rPr>
          <w:rFonts w:ascii="Arial" w:eastAsia="Times New Roman" w:hAnsi="Arial" w:cs="Arial"/>
          <w:color w:val="000000"/>
          <w:kern w:val="0"/>
          <w:sz w:val="23"/>
          <w:szCs w:val="23"/>
          <w14:ligatures w14:val="none"/>
        </w:rPr>
        <w:t xml:space="preserve"> your tax</w:t>
      </w:r>
      <w:r w:rsidRPr="00EF6051">
        <w:rPr>
          <w:rFonts w:ascii="Arial" w:eastAsia="Times New Roman" w:hAnsi="Arial" w:cs="Arial"/>
          <w:color w:val="000000"/>
          <w:kern w:val="0"/>
          <w:sz w:val="23"/>
          <w:szCs w:val="23"/>
          <w14:ligatures w14:val="none"/>
        </w:rPr>
        <w:t xml:space="preserve"> advisers will be able to estimate any potential tax liability of the asset clients are receiving as well as have the information for reporting any future sale.</w:t>
      </w:r>
    </w:p>
    <w:p w14:paraId="044B579A" w14:textId="2D9C6935" w:rsidR="00EF6051" w:rsidRPr="00EF6051" w:rsidRDefault="00EF6051" w:rsidP="00EF6051">
      <w:pPr>
        <w:shd w:val="clear" w:color="auto" w:fill="FFFFFF"/>
        <w:spacing w:before="100" w:beforeAutospacing="1" w:after="100" w:afterAutospacing="1" w:line="240" w:lineRule="auto"/>
        <w:textAlignment w:val="baseline"/>
        <w:rPr>
          <w:rFonts w:ascii="Arial" w:eastAsia="Times New Roman" w:hAnsi="Arial" w:cs="Arial"/>
          <w:color w:val="000000"/>
          <w:kern w:val="0"/>
          <w:sz w:val="23"/>
          <w:szCs w:val="23"/>
          <w14:ligatures w14:val="none"/>
        </w:rPr>
      </w:pPr>
      <w:r w:rsidRPr="00EF6051">
        <w:rPr>
          <w:rFonts w:ascii="Arial" w:eastAsia="Times New Roman" w:hAnsi="Arial" w:cs="Arial"/>
          <w:color w:val="000000"/>
          <w:kern w:val="0"/>
          <w:sz w:val="23"/>
          <w:szCs w:val="23"/>
          <w14:ligatures w14:val="none"/>
        </w:rPr>
        <w:t>The principal residence is a typical asset that is discussed and awarded during a divorce.</w:t>
      </w:r>
      <w:r w:rsidR="0078658C">
        <w:rPr>
          <w:rFonts w:ascii="Arial" w:eastAsia="Times New Roman" w:hAnsi="Arial" w:cs="Arial"/>
          <w:color w:val="000000"/>
          <w:kern w:val="0"/>
          <w:sz w:val="23"/>
          <w:szCs w:val="23"/>
          <w14:ligatures w14:val="none"/>
        </w:rPr>
        <w:t xml:space="preserve"> IRC Section</w:t>
      </w:r>
      <w:r w:rsidRPr="00EF6051">
        <w:rPr>
          <w:rFonts w:ascii="Arial" w:eastAsia="Times New Roman" w:hAnsi="Arial" w:cs="Arial"/>
          <w:color w:val="000000"/>
          <w:kern w:val="0"/>
          <w:sz w:val="23"/>
          <w:szCs w:val="23"/>
          <w14:ligatures w14:val="none"/>
        </w:rPr>
        <w:t xml:space="preserve"> 121 allows joint filers to exclude up to $500,000 of gain on the sale of a residence, and individual filers can exclude up to $250,000 of gain. This can provide a tax planning opportunity for some </w:t>
      </w:r>
      <w:proofErr w:type="gramStart"/>
      <w:r w:rsidRPr="00EF6051">
        <w:rPr>
          <w:rFonts w:ascii="Arial" w:eastAsia="Times New Roman" w:hAnsi="Arial" w:cs="Arial"/>
          <w:color w:val="000000"/>
          <w:kern w:val="0"/>
          <w:sz w:val="23"/>
          <w:szCs w:val="23"/>
          <w14:ligatures w14:val="none"/>
        </w:rPr>
        <w:t>divorcing</w:t>
      </w:r>
      <w:proofErr w:type="gramEnd"/>
      <w:r w:rsidRPr="00EF6051">
        <w:rPr>
          <w:rFonts w:ascii="Arial" w:eastAsia="Times New Roman" w:hAnsi="Arial" w:cs="Arial"/>
          <w:color w:val="000000"/>
          <w:kern w:val="0"/>
          <w:sz w:val="23"/>
          <w:szCs w:val="23"/>
          <w14:ligatures w14:val="none"/>
        </w:rPr>
        <w:t xml:space="preserve"> couples. For joint filers to qualify for the exclusion, one party needs to have owned the residence, and both parties need to have used the residence as their principal residence for a total of </w:t>
      </w:r>
      <w:r w:rsidR="0078658C">
        <w:rPr>
          <w:rFonts w:ascii="Arial" w:eastAsia="Times New Roman" w:hAnsi="Arial" w:cs="Arial"/>
          <w:color w:val="000000"/>
          <w:kern w:val="0"/>
          <w:sz w:val="23"/>
          <w:szCs w:val="23"/>
          <w14:ligatures w14:val="none"/>
        </w:rPr>
        <w:t xml:space="preserve">any </w:t>
      </w:r>
      <w:r w:rsidRPr="00EF6051">
        <w:rPr>
          <w:rFonts w:ascii="Arial" w:eastAsia="Times New Roman" w:hAnsi="Arial" w:cs="Arial"/>
          <w:color w:val="000000"/>
          <w:kern w:val="0"/>
          <w:sz w:val="23"/>
          <w:szCs w:val="23"/>
          <w14:ligatures w14:val="none"/>
        </w:rPr>
        <w:t>two out of the last five</w:t>
      </w:r>
      <w:r w:rsidR="0078658C">
        <w:rPr>
          <w:rFonts w:ascii="Arial" w:eastAsia="Times New Roman" w:hAnsi="Arial" w:cs="Arial"/>
          <w:color w:val="000000"/>
          <w:kern w:val="0"/>
          <w:sz w:val="23"/>
          <w:szCs w:val="23"/>
          <w14:ligatures w14:val="none"/>
        </w:rPr>
        <w:t xml:space="preserve"> consecutive</w:t>
      </w:r>
      <w:r w:rsidRPr="00EF6051">
        <w:rPr>
          <w:rFonts w:ascii="Arial" w:eastAsia="Times New Roman" w:hAnsi="Arial" w:cs="Arial"/>
          <w:color w:val="000000"/>
          <w:kern w:val="0"/>
          <w:sz w:val="23"/>
          <w:szCs w:val="23"/>
          <w14:ligatures w14:val="none"/>
        </w:rPr>
        <w:t xml:space="preserve"> years.</w:t>
      </w:r>
    </w:p>
    <w:p w14:paraId="596C54C8" w14:textId="591A8990" w:rsidR="00EF6051" w:rsidRPr="00EF6051" w:rsidRDefault="00EF6051" w:rsidP="00EF6051">
      <w:pPr>
        <w:shd w:val="clear" w:color="auto" w:fill="FFFFFF"/>
        <w:spacing w:before="100" w:beforeAutospacing="1" w:after="100" w:afterAutospacing="1" w:line="240" w:lineRule="auto"/>
        <w:textAlignment w:val="baseline"/>
        <w:rPr>
          <w:rFonts w:ascii="Arial" w:eastAsia="Times New Roman" w:hAnsi="Arial" w:cs="Arial"/>
          <w:color w:val="000000"/>
          <w:kern w:val="0"/>
          <w:sz w:val="23"/>
          <w:szCs w:val="23"/>
          <w14:ligatures w14:val="none"/>
        </w:rPr>
      </w:pPr>
      <w:r w:rsidRPr="00EF6051">
        <w:rPr>
          <w:rFonts w:ascii="Arial" w:eastAsia="Times New Roman" w:hAnsi="Arial" w:cs="Arial"/>
          <w:color w:val="000000"/>
          <w:kern w:val="0"/>
          <w:sz w:val="23"/>
          <w:szCs w:val="23"/>
          <w14:ligatures w14:val="none"/>
        </w:rPr>
        <w:t>Sec</w:t>
      </w:r>
      <w:r w:rsidR="0078658C">
        <w:rPr>
          <w:rFonts w:ascii="Arial" w:eastAsia="Times New Roman" w:hAnsi="Arial" w:cs="Arial"/>
          <w:color w:val="000000"/>
          <w:kern w:val="0"/>
          <w:sz w:val="23"/>
          <w:szCs w:val="23"/>
          <w14:ligatures w14:val="none"/>
        </w:rPr>
        <w:t xml:space="preserve">tion </w:t>
      </w:r>
      <w:r w:rsidRPr="00EF6051">
        <w:rPr>
          <w:rFonts w:ascii="Arial" w:eastAsia="Times New Roman" w:hAnsi="Arial" w:cs="Arial"/>
          <w:color w:val="000000"/>
          <w:kern w:val="0"/>
          <w:sz w:val="23"/>
          <w:szCs w:val="23"/>
          <w14:ligatures w14:val="none"/>
        </w:rPr>
        <w:t xml:space="preserve">121 provides very favorable treatment for parties in divorce to assist them in meeting the ownership and </w:t>
      </w:r>
      <w:proofErr w:type="gramStart"/>
      <w:r w:rsidRPr="00EF6051">
        <w:rPr>
          <w:rFonts w:ascii="Arial" w:eastAsia="Times New Roman" w:hAnsi="Arial" w:cs="Arial"/>
          <w:color w:val="000000"/>
          <w:kern w:val="0"/>
          <w:sz w:val="23"/>
          <w:szCs w:val="23"/>
          <w14:ligatures w14:val="none"/>
        </w:rPr>
        <w:t>use</w:t>
      </w:r>
      <w:proofErr w:type="gramEnd"/>
      <w:r w:rsidRPr="00EF6051">
        <w:rPr>
          <w:rFonts w:ascii="Arial" w:eastAsia="Times New Roman" w:hAnsi="Arial" w:cs="Arial"/>
          <w:color w:val="000000"/>
          <w:kern w:val="0"/>
          <w:sz w:val="23"/>
          <w:szCs w:val="23"/>
          <w14:ligatures w14:val="none"/>
        </w:rPr>
        <w:t xml:space="preserve"> tests. First, to help meet the ownership test, Sec</w:t>
      </w:r>
      <w:r w:rsidR="0078658C">
        <w:rPr>
          <w:rFonts w:ascii="Arial" w:eastAsia="Times New Roman" w:hAnsi="Arial" w:cs="Arial"/>
          <w:color w:val="000000"/>
          <w:kern w:val="0"/>
          <w:sz w:val="23"/>
          <w:szCs w:val="23"/>
          <w14:ligatures w14:val="none"/>
        </w:rPr>
        <w:t>tion</w:t>
      </w:r>
      <w:r w:rsidRPr="00EF6051">
        <w:rPr>
          <w:rFonts w:ascii="Arial" w:eastAsia="Times New Roman" w:hAnsi="Arial" w:cs="Arial"/>
          <w:color w:val="000000"/>
          <w:kern w:val="0"/>
          <w:sz w:val="23"/>
          <w:szCs w:val="23"/>
          <w14:ligatures w14:val="none"/>
        </w:rPr>
        <w:t xml:space="preserve"> 121(d)(3)(A) allows the residence transfer from one spouse to the other spouse to include the holding period. This would allow the receiving spouse to count any ownership time of the transferor spouse as the receiving spouse’s own. </w:t>
      </w:r>
      <w:r w:rsidR="00CA0617">
        <w:rPr>
          <w:rFonts w:ascii="Arial" w:eastAsia="Times New Roman" w:hAnsi="Arial" w:cs="Arial"/>
          <w:color w:val="000000"/>
          <w:kern w:val="0"/>
          <w:sz w:val="23"/>
          <w:szCs w:val="23"/>
          <w14:ligatures w14:val="none"/>
        </w:rPr>
        <w:t>Section</w:t>
      </w:r>
      <w:r w:rsidRPr="00EF6051">
        <w:rPr>
          <w:rFonts w:ascii="Arial" w:eastAsia="Times New Roman" w:hAnsi="Arial" w:cs="Arial"/>
          <w:color w:val="000000"/>
          <w:kern w:val="0"/>
          <w:sz w:val="23"/>
          <w:szCs w:val="23"/>
          <w14:ligatures w14:val="none"/>
        </w:rPr>
        <w:t xml:space="preserve"> 121(d) (3)(B) helps the parties meet the use test by allowing an individual to be treated as using property during any period of ownership while their spouse or former spouse is granted use of the property under a divorce or separation instrument. So, if one party is given temporary use of the home in a divorce instrument, the other party can count that use time as their own. Note that voluntarily moving out will not count, as it needs to be part of the agreement. </w:t>
      </w:r>
    </w:p>
    <w:p w14:paraId="351C4792" w14:textId="538034ED" w:rsidR="00EF6051" w:rsidRPr="00EF6051" w:rsidRDefault="00EF6051" w:rsidP="00EF6051">
      <w:pPr>
        <w:shd w:val="clear" w:color="auto" w:fill="FFFFFF"/>
        <w:spacing w:before="100" w:beforeAutospacing="1" w:after="100" w:afterAutospacing="1" w:line="240" w:lineRule="auto"/>
        <w:textAlignment w:val="baseline"/>
        <w:rPr>
          <w:rFonts w:ascii="Arial" w:eastAsia="Times New Roman" w:hAnsi="Arial" w:cs="Arial"/>
          <w:color w:val="000000"/>
          <w:kern w:val="0"/>
          <w:sz w:val="23"/>
          <w:szCs w:val="23"/>
          <w14:ligatures w14:val="none"/>
        </w:rPr>
      </w:pPr>
      <w:r w:rsidRPr="00EF6051">
        <w:rPr>
          <w:rFonts w:ascii="Arial" w:eastAsia="Times New Roman" w:hAnsi="Arial" w:cs="Arial"/>
          <w:color w:val="000000"/>
          <w:kern w:val="0"/>
          <w:sz w:val="23"/>
          <w:szCs w:val="23"/>
          <w14:ligatures w14:val="none"/>
        </w:rPr>
        <w:t xml:space="preserve">Retirement plans come in many forms and are also a common asset to be divided </w:t>
      </w:r>
      <w:proofErr w:type="gramStart"/>
      <w:r w:rsidRPr="00EF6051">
        <w:rPr>
          <w:rFonts w:ascii="Arial" w:eastAsia="Times New Roman" w:hAnsi="Arial" w:cs="Arial"/>
          <w:color w:val="000000"/>
          <w:kern w:val="0"/>
          <w:sz w:val="23"/>
          <w:szCs w:val="23"/>
          <w14:ligatures w14:val="none"/>
        </w:rPr>
        <w:t>in</w:t>
      </w:r>
      <w:proofErr w:type="gramEnd"/>
      <w:r w:rsidRPr="00EF6051">
        <w:rPr>
          <w:rFonts w:ascii="Arial" w:eastAsia="Times New Roman" w:hAnsi="Arial" w:cs="Arial"/>
          <w:color w:val="000000"/>
          <w:kern w:val="0"/>
          <w:sz w:val="23"/>
          <w:szCs w:val="23"/>
          <w14:ligatures w14:val="none"/>
        </w:rPr>
        <w:t xml:space="preserve"> a divorce. “Qualified” plans include pension and profit-sharing plans, such as defined benefit plans, </w:t>
      </w:r>
      <w:r w:rsidR="00CA0617">
        <w:rPr>
          <w:rFonts w:ascii="Arial" w:eastAsia="Times New Roman" w:hAnsi="Arial" w:cs="Arial"/>
          <w:color w:val="000000"/>
          <w:kern w:val="0"/>
          <w:sz w:val="23"/>
          <w:szCs w:val="23"/>
          <w14:ligatures w14:val="none"/>
        </w:rPr>
        <w:t>Section</w:t>
      </w:r>
      <w:r w:rsidRPr="00EF6051">
        <w:rPr>
          <w:rFonts w:ascii="Arial" w:eastAsia="Times New Roman" w:hAnsi="Arial" w:cs="Arial"/>
          <w:color w:val="000000"/>
          <w:kern w:val="0"/>
          <w:sz w:val="23"/>
          <w:szCs w:val="23"/>
          <w14:ligatures w14:val="none"/>
        </w:rPr>
        <w:t xml:space="preserve"> 401(k) plans, and </w:t>
      </w:r>
      <w:r w:rsidR="00CA0617">
        <w:rPr>
          <w:rFonts w:ascii="Arial" w:eastAsia="Times New Roman" w:hAnsi="Arial" w:cs="Arial"/>
          <w:color w:val="000000"/>
          <w:kern w:val="0"/>
          <w:sz w:val="23"/>
          <w:szCs w:val="23"/>
          <w14:ligatures w14:val="none"/>
        </w:rPr>
        <w:t>Section</w:t>
      </w:r>
      <w:r w:rsidRPr="00EF6051">
        <w:rPr>
          <w:rFonts w:ascii="Arial" w:eastAsia="Times New Roman" w:hAnsi="Arial" w:cs="Arial"/>
          <w:color w:val="000000"/>
          <w:kern w:val="0"/>
          <w:sz w:val="23"/>
          <w:szCs w:val="23"/>
          <w14:ligatures w14:val="none"/>
        </w:rPr>
        <w:t xml:space="preserve"> 403(b) plans. These employer-provided plans are governed by the Employee Retirement Income Security Act of 1974 (ERISA), which provides that these types of plans cannot be assigned from one spouse to the other without a qualified domestic relations order (QDRO). The requirements of a QDRO are listed in </w:t>
      </w:r>
      <w:r w:rsidR="00CA0617">
        <w:rPr>
          <w:rFonts w:ascii="Arial" w:eastAsia="Times New Roman" w:hAnsi="Arial" w:cs="Arial"/>
          <w:color w:val="000000"/>
          <w:kern w:val="0"/>
          <w:sz w:val="23"/>
          <w:szCs w:val="23"/>
          <w14:ligatures w14:val="none"/>
        </w:rPr>
        <w:t>Section</w:t>
      </w:r>
      <w:r w:rsidRPr="00EF6051">
        <w:rPr>
          <w:rFonts w:ascii="Arial" w:eastAsia="Times New Roman" w:hAnsi="Arial" w:cs="Arial"/>
          <w:color w:val="000000"/>
          <w:kern w:val="0"/>
          <w:sz w:val="23"/>
          <w:szCs w:val="23"/>
          <w14:ligatures w14:val="none"/>
        </w:rPr>
        <w:t xml:space="preserve"> 414(p), and failure to follow them can have adverse tax consequences. Once the divorce court produces the order to assign some or </w:t>
      </w:r>
      <w:proofErr w:type="gramStart"/>
      <w:r w:rsidRPr="00EF6051">
        <w:rPr>
          <w:rFonts w:ascii="Arial" w:eastAsia="Times New Roman" w:hAnsi="Arial" w:cs="Arial"/>
          <w:color w:val="000000"/>
          <w:kern w:val="0"/>
          <w:sz w:val="23"/>
          <w:szCs w:val="23"/>
          <w14:ligatures w14:val="none"/>
        </w:rPr>
        <w:t>all of</w:t>
      </w:r>
      <w:proofErr w:type="gramEnd"/>
      <w:r w:rsidRPr="00EF6051">
        <w:rPr>
          <w:rFonts w:ascii="Arial" w:eastAsia="Times New Roman" w:hAnsi="Arial" w:cs="Arial"/>
          <w:color w:val="000000"/>
          <w:kern w:val="0"/>
          <w:sz w:val="23"/>
          <w:szCs w:val="23"/>
          <w14:ligatures w14:val="none"/>
        </w:rPr>
        <w:t xml:space="preserve"> the retirement account to the spouse (alternate payee), and the qualified plan administrator has determined it meets the conditions of </w:t>
      </w:r>
      <w:r w:rsidR="00CA0617">
        <w:rPr>
          <w:rFonts w:ascii="Arial" w:eastAsia="Times New Roman" w:hAnsi="Arial" w:cs="Arial"/>
          <w:color w:val="000000"/>
          <w:kern w:val="0"/>
          <w:sz w:val="23"/>
          <w:szCs w:val="23"/>
          <w14:ligatures w14:val="none"/>
        </w:rPr>
        <w:t>Section</w:t>
      </w:r>
      <w:r w:rsidRPr="00EF6051">
        <w:rPr>
          <w:rFonts w:ascii="Arial" w:eastAsia="Times New Roman" w:hAnsi="Arial" w:cs="Arial"/>
          <w:color w:val="000000"/>
          <w:kern w:val="0"/>
          <w:sz w:val="23"/>
          <w:szCs w:val="23"/>
          <w14:ligatures w14:val="none"/>
        </w:rPr>
        <w:t xml:space="preserve"> 414(p) and signs the document, you have a QDRO. The retirement account will now be divided between the parties as provided in the QDRO.</w:t>
      </w:r>
    </w:p>
    <w:p w14:paraId="18F282CF" w14:textId="3303DCF6" w:rsidR="00EF6051" w:rsidRPr="00EF6051" w:rsidRDefault="00EF6051" w:rsidP="00EF6051">
      <w:pPr>
        <w:shd w:val="clear" w:color="auto" w:fill="FFFFFF"/>
        <w:spacing w:before="100" w:beforeAutospacing="1" w:after="100" w:afterAutospacing="1" w:line="240" w:lineRule="auto"/>
        <w:textAlignment w:val="baseline"/>
        <w:rPr>
          <w:rFonts w:ascii="Arial" w:eastAsia="Times New Roman" w:hAnsi="Arial" w:cs="Arial"/>
          <w:color w:val="000000"/>
          <w:kern w:val="0"/>
          <w:sz w:val="23"/>
          <w:szCs w:val="23"/>
          <w14:ligatures w14:val="none"/>
        </w:rPr>
      </w:pPr>
      <w:r w:rsidRPr="00EF6051">
        <w:rPr>
          <w:rFonts w:ascii="Arial" w:eastAsia="Times New Roman" w:hAnsi="Arial" w:cs="Arial"/>
          <w:color w:val="000000"/>
          <w:kern w:val="0"/>
          <w:sz w:val="23"/>
          <w:szCs w:val="23"/>
          <w14:ligatures w14:val="none"/>
        </w:rPr>
        <w:t xml:space="preserve">An individual retirement account (IRA) is not covered under ERISA and does not need a QDRO to divide. This is also true for Roth IRAs, rollover IRAs, and </w:t>
      </w:r>
      <w:proofErr w:type="gramStart"/>
      <w:r w:rsidRPr="00EF6051">
        <w:rPr>
          <w:rFonts w:ascii="Arial" w:eastAsia="Times New Roman" w:hAnsi="Arial" w:cs="Arial"/>
          <w:color w:val="000000"/>
          <w:kern w:val="0"/>
          <w:sz w:val="23"/>
          <w:szCs w:val="23"/>
          <w14:ligatures w14:val="none"/>
        </w:rPr>
        <w:t>nonqualified</w:t>
      </w:r>
      <w:proofErr w:type="gramEnd"/>
      <w:r w:rsidRPr="00EF6051">
        <w:rPr>
          <w:rFonts w:ascii="Arial" w:eastAsia="Times New Roman" w:hAnsi="Arial" w:cs="Arial"/>
          <w:color w:val="000000"/>
          <w:kern w:val="0"/>
          <w:sz w:val="23"/>
          <w:szCs w:val="23"/>
          <w14:ligatures w14:val="none"/>
        </w:rPr>
        <w:t xml:space="preserve"> retirement and deferred compensation plans, as well as a few others. These accounts can be divided by including the instruction in the settlement agreement. These instructions constitute a domestic relations order</w:t>
      </w:r>
      <w:r w:rsidR="00CA0617">
        <w:rPr>
          <w:rFonts w:ascii="Arial" w:eastAsia="Times New Roman" w:hAnsi="Arial" w:cs="Arial"/>
          <w:color w:val="000000"/>
          <w:kern w:val="0"/>
          <w:sz w:val="23"/>
          <w:szCs w:val="23"/>
          <w14:ligatures w14:val="none"/>
        </w:rPr>
        <w:t xml:space="preserve">, </w:t>
      </w:r>
      <w:r w:rsidRPr="00EF6051">
        <w:rPr>
          <w:rFonts w:ascii="Arial" w:eastAsia="Times New Roman" w:hAnsi="Arial" w:cs="Arial"/>
          <w:color w:val="000000"/>
          <w:kern w:val="0"/>
          <w:sz w:val="23"/>
          <w:szCs w:val="23"/>
          <w14:ligatures w14:val="none"/>
        </w:rPr>
        <w:t>not a “qualified” domestic relations order in the same way that property divisions, alimony, and other instructions are recorded in an agreement.</w:t>
      </w:r>
    </w:p>
    <w:p w14:paraId="2A90FFB7" w14:textId="0A056EDA" w:rsidR="00EF6051" w:rsidRDefault="00EF6051" w:rsidP="00EF6051">
      <w:pPr>
        <w:shd w:val="clear" w:color="auto" w:fill="FFFFFF"/>
        <w:spacing w:before="100" w:beforeAutospacing="1" w:after="100" w:afterAutospacing="1" w:line="240" w:lineRule="auto"/>
        <w:textAlignment w:val="baseline"/>
        <w:rPr>
          <w:rFonts w:ascii="Arial" w:eastAsia="Times New Roman" w:hAnsi="Arial" w:cs="Arial"/>
          <w:color w:val="000000"/>
          <w:kern w:val="0"/>
          <w:sz w:val="23"/>
          <w:szCs w:val="23"/>
          <w14:ligatures w14:val="none"/>
        </w:rPr>
      </w:pPr>
      <w:r w:rsidRPr="00EF6051">
        <w:rPr>
          <w:rFonts w:ascii="Arial" w:eastAsia="Times New Roman" w:hAnsi="Arial" w:cs="Arial"/>
          <w:color w:val="000000"/>
          <w:kern w:val="0"/>
          <w:sz w:val="23"/>
          <w:szCs w:val="23"/>
          <w14:ligatures w14:val="none"/>
        </w:rPr>
        <w:t xml:space="preserve">One planning note is that a retirement account being divided via a QDRO has an opportunity to distribute funds out of the plan without having to pay the 10% early-distribution penalty. </w:t>
      </w:r>
      <w:r w:rsidR="00CA0617">
        <w:rPr>
          <w:rFonts w:ascii="Arial" w:eastAsia="Times New Roman" w:hAnsi="Arial" w:cs="Arial"/>
          <w:color w:val="000000"/>
          <w:kern w:val="0"/>
          <w:sz w:val="23"/>
          <w:szCs w:val="23"/>
          <w14:ligatures w14:val="none"/>
        </w:rPr>
        <w:t xml:space="preserve">The 10% penalty </w:t>
      </w:r>
      <w:r w:rsidR="00251FD5">
        <w:rPr>
          <w:rFonts w:ascii="Arial" w:eastAsia="Times New Roman" w:hAnsi="Arial" w:cs="Arial"/>
          <w:color w:val="000000"/>
          <w:kern w:val="0"/>
          <w:sz w:val="23"/>
          <w:szCs w:val="23"/>
          <w14:ligatures w14:val="none"/>
        </w:rPr>
        <w:t xml:space="preserve">normally </w:t>
      </w:r>
      <w:r w:rsidR="00CA0617">
        <w:rPr>
          <w:rFonts w:ascii="Arial" w:eastAsia="Times New Roman" w:hAnsi="Arial" w:cs="Arial"/>
          <w:color w:val="000000"/>
          <w:kern w:val="0"/>
          <w:sz w:val="23"/>
          <w:szCs w:val="23"/>
          <w14:ligatures w14:val="none"/>
        </w:rPr>
        <w:t xml:space="preserve">applies if the spouse receiving the </w:t>
      </w:r>
      <w:r w:rsidR="00251FD5">
        <w:rPr>
          <w:rFonts w:ascii="Arial" w:eastAsia="Times New Roman" w:hAnsi="Arial" w:cs="Arial"/>
          <w:color w:val="000000"/>
          <w:kern w:val="0"/>
          <w:sz w:val="23"/>
          <w:szCs w:val="23"/>
          <w14:ligatures w14:val="none"/>
        </w:rPr>
        <w:t xml:space="preserve">retirement </w:t>
      </w:r>
      <w:r w:rsidR="00CA0617">
        <w:rPr>
          <w:rFonts w:ascii="Arial" w:eastAsia="Times New Roman" w:hAnsi="Arial" w:cs="Arial"/>
          <w:color w:val="000000"/>
          <w:kern w:val="0"/>
          <w:sz w:val="23"/>
          <w:szCs w:val="23"/>
          <w14:ligatures w14:val="none"/>
        </w:rPr>
        <w:t xml:space="preserve">distribution is under 59½ years old. </w:t>
      </w:r>
      <w:r w:rsidRPr="00EF6051">
        <w:rPr>
          <w:rFonts w:ascii="Arial" w:eastAsia="Times New Roman" w:hAnsi="Arial" w:cs="Arial"/>
          <w:color w:val="000000"/>
          <w:kern w:val="0"/>
          <w:sz w:val="23"/>
          <w:szCs w:val="23"/>
          <w14:ligatures w14:val="none"/>
        </w:rPr>
        <w:t>The</w:t>
      </w:r>
      <w:r w:rsidR="00CA0617">
        <w:rPr>
          <w:rFonts w:ascii="Arial" w:eastAsia="Times New Roman" w:hAnsi="Arial" w:cs="Arial"/>
          <w:color w:val="000000"/>
          <w:kern w:val="0"/>
          <w:sz w:val="23"/>
          <w:szCs w:val="23"/>
          <w14:ligatures w14:val="none"/>
        </w:rPr>
        <w:t>refore</w:t>
      </w:r>
      <w:r w:rsidR="00251FD5">
        <w:rPr>
          <w:rFonts w:ascii="Arial" w:eastAsia="Times New Roman" w:hAnsi="Arial" w:cs="Arial"/>
          <w:color w:val="000000"/>
          <w:kern w:val="0"/>
          <w:sz w:val="23"/>
          <w:szCs w:val="23"/>
          <w14:ligatures w14:val="none"/>
        </w:rPr>
        <w:t>,</w:t>
      </w:r>
      <w:r w:rsidR="00CA0617">
        <w:rPr>
          <w:rFonts w:ascii="Arial" w:eastAsia="Times New Roman" w:hAnsi="Arial" w:cs="Arial"/>
          <w:color w:val="000000"/>
          <w:kern w:val="0"/>
          <w:sz w:val="23"/>
          <w:szCs w:val="23"/>
          <w14:ligatures w14:val="none"/>
        </w:rPr>
        <w:t xml:space="preserve"> the QDRO </w:t>
      </w:r>
      <w:r w:rsidRPr="00EF6051">
        <w:rPr>
          <w:rFonts w:ascii="Arial" w:eastAsia="Times New Roman" w:hAnsi="Arial" w:cs="Arial"/>
          <w:color w:val="000000"/>
          <w:kern w:val="0"/>
          <w:sz w:val="23"/>
          <w:szCs w:val="23"/>
          <w14:ligatures w14:val="none"/>
        </w:rPr>
        <w:t xml:space="preserve">distribution will be taxable as ordinary income but without the </w:t>
      </w:r>
      <w:r w:rsidR="00CA0617">
        <w:rPr>
          <w:rFonts w:ascii="Arial" w:eastAsia="Times New Roman" w:hAnsi="Arial" w:cs="Arial"/>
          <w:color w:val="000000"/>
          <w:kern w:val="0"/>
          <w:sz w:val="23"/>
          <w:szCs w:val="23"/>
          <w14:ligatures w14:val="none"/>
        </w:rPr>
        <w:t xml:space="preserve">10% </w:t>
      </w:r>
      <w:r w:rsidRPr="00EF6051">
        <w:rPr>
          <w:rFonts w:ascii="Arial" w:eastAsia="Times New Roman" w:hAnsi="Arial" w:cs="Arial"/>
          <w:color w:val="000000"/>
          <w:kern w:val="0"/>
          <w:sz w:val="23"/>
          <w:szCs w:val="23"/>
          <w14:ligatures w14:val="none"/>
        </w:rPr>
        <w:t>penalty</w:t>
      </w:r>
      <w:r w:rsidR="00CA0617">
        <w:rPr>
          <w:rFonts w:ascii="Arial" w:eastAsia="Times New Roman" w:hAnsi="Arial" w:cs="Arial"/>
          <w:color w:val="000000"/>
          <w:kern w:val="0"/>
          <w:sz w:val="23"/>
          <w:szCs w:val="23"/>
          <w14:ligatures w14:val="none"/>
        </w:rPr>
        <w:t xml:space="preserve"> regardless of the spouse</w:t>
      </w:r>
      <w:r w:rsidR="000320A2">
        <w:rPr>
          <w:rFonts w:ascii="Arial" w:eastAsia="Times New Roman" w:hAnsi="Arial" w:cs="Arial"/>
          <w:color w:val="000000"/>
          <w:kern w:val="0"/>
          <w:sz w:val="23"/>
          <w:szCs w:val="23"/>
          <w14:ligatures w14:val="none"/>
        </w:rPr>
        <w:t>’</w:t>
      </w:r>
      <w:r w:rsidR="00CA0617">
        <w:rPr>
          <w:rFonts w:ascii="Arial" w:eastAsia="Times New Roman" w:hAnsi="Arial" w:cs="Arial"/>
          <w:color w:val="000000"/>
          <w:kern w:val="0"/>
          <w:sz w:val="23"/>
          <w:szCs w:val="23"/>
          <w14:ligatures w14:val="none"/>
        </w:rPr>
        <w:t>s age</w:t>
      </w:r>
      <w:r w:rsidRPr="00EF6051">
        <w:rPr>
          <w:rFonts w:ascii="Arial" w:eastAsia="Times New Roman" w:hAnsi="Arial" w:cs="Arial"/>
          <w:color w:val="000000"/>
          <w:kern w:val="0"/>
          <w:sz w:val="23"/>
          <w:szCs w:val="23"/>
          <w14:ligatures w14:val="none"/>
        </w:rPr>
        <w:t>. This can be a good way to generate some liquidity in a di</w:t>
      </w:r>
      <w:r w:rsidR="00251FD5">
        <w:rPr>
          <w:rFonts w:ascii="Arial" w:eastAsia="Times New Roman" w:hAnsi="Arial" w:cs="Arial"/>
          <w:color w:val="000000"/>
          <w:kern w:val="0"/>
          <w:sz w:val="23"/>
          <w:szCs w:val="23"/>
          <w14:ligatures w14:val="none"/>
        </w:rPr>
        <w:t>vorce</w:t>
      </w:r>
      <w:r w:rsidRPr="00EF6051">
        <w:rPr>
          <w:rFonts w:ascii="Arial" w:eastAsia="Times New Roman" w:hAnsi="Arial" w:cs="Arial"/>
          <w:color w:val="000000"/>
          <w:kern w:val="0"/>
          <w:sz w:val="23"/>
          <w:szCs w:val="23"/>
          <w14:ligatures w14:val="none"/>
        </w:rPr>
        <w:t xml:space="preserve"> with limited other assets. This distribution </w:t>
      </w:r>
      <w:r w:rsidRPr="00EF6051">
        <w:rPr>
          <w:rFonts w:ascii="Arial" w:eastAsia="Times New Roman" w:hAnsi="Arial" w:cs="Arial"/>
          <w:color w:val="000000"/>
          <w:kern w:val="0"/>
          <w:sz w:val="23"/>
          <w:szCs w:val="23"/>
          <w14:ligatures w14:val="none"/>
        </w:rPr>
        <w:lastRenderedPageBreak/>
        <w:t>must be part of the QDRO instructions and is not available for IRAs, as they are not divided with a QDRO.</w:t>
      </w:r>
    </w:p>
    <w:p w14:paraId="7EF4656D" w14:textId="7A6B11D8" w:rsidR="000320A2" w:rsidRPr="00EF6051" w:rsidRDefault="000320A2" w:rsidP="00EF6051">
      <w:pPr>
        <w:shd w:val="clear" w:color="auto" w:fill="FFFFFF"/>
        <w:spacing w:before="100" w:beforeAutospacing="1" w:after="100" w:afterAutospacing="1" w:line="240" w:lineRule="auto"/>
        <w:textAlignment w:val="baseline"/>
        <w:rPr>
          <w:rFonts w:ascii="Arial" w:eastAsia="Times New Roman" w:hAnsi="Arial" w:cs="Arial"/>
          <w:color w:val="000000"/>
          <w:kern w:val="0"/>
          <w:sz w:val="23"/>
          <w:szCs w:val="23"/>
          <w14:ligatures w14:val="none"/>
        </w:rPr>
      </w:pPr>
      <w:r>
        <w:rPr>
          <w:rFonts w:ascii="Arial" w:eastAsia="Times New Roman" w:hAnsi="Arial" w:cs="Arial"/>
          <w:color w:val="000000"/>
          <w:kern w:val="0"/>
          <w:sz w:val="23"/>
          <w:szCs w:val="23"/>
          <w14:ligatures w14:val="none"/>
        </w:rPr>
        <w:t xml:space="preserve">If you have any </w:t>
      </w:r>
      <w:proofErr w:type="gramStart"/>
      <w:r>
        <w:rPr>
          <w:rFonts w:ascii="Arial" w:eastAsia="Times New Roman" w:hAnsi="Arial" w:cs="Arial"/>
          <w:color w:val="000000"/>
          <w:kern w:val="0"/>
          <w:sz w:val="23"/>
          <w:szCs w:val="23"/>
          <w14:ligatures w14:val="none"/>
        </w:rPr>
        <w:t>questions</w:t>
      </w:r>
      <w:proofErr w:type="gramEnd"/>
      <w:r>
        <w:rPr>
          <w:rFonts w:ascii="Arial" w:eastAsia="Times New Roman" w:hAnsi="Arial" w:cs="Arial"/>
          <w:color w:val="000000"/>
          <w:kern w:val="0"/>
          <w:sz w:val="23"/>
          <w:szCs w:val="23"/>
          <w14:ligatures w14:val="none"/>
        </w:rPr>
        <w:t xml:space="preserve"> call Shintia Z. Riva, Esquire at 610-521-0604. Shintia </w:t>
      </w:r>
      <w:r w:rsidR="00251FD5">
        <w:rPr>
          <w:rFonts w:ascii="Arial" w:eastAsia="Times New Roman" w:hAnsi="Arial" w:cs="Arial"/>
          <w:color w:val="000000"/>
          <w:kern w:val="0"/>
          <w:sz w:val="23"/>
          <w:szCs w:val="23"/>
          <w14:ligatures w14:val="none"/>
        </w:rPr>
        <w:t xml:space="preserve">specializes in </w:t>
      </w:r>
      <w:r>
        <w:rPr>
          <w:rFonts w:ascii="Arial" w:eastAsia="Times New Roman" w:hAnsi="Arial" w:cs="Arial"/>
          <w:color w:val="000000"/>
          <w:kern w:val="0"/>
          <w:sz w:val="23"/>
          <w:szCs w:val="23"/>
          <w14:ligatures w14:val="none"/>
        </w:rPr>
        <w:t xml:space="preserve">family law at the Law Offices of Spadea &amp; Associates, LLC.    </w:t>
      </w:r>
    </w:p>
    <w:p w14:paraId="4B8EE9F8" w14:textId="77777777" w:rsidR="00E75DED" w:rsidRDefault="00E75DED"/>
    <w:sectPr w:rsidR="00E75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A2288"/>
    <w:multiLevelType w:val="multilevel"/>
    <w:tmpl w:val="CB3A1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5092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051"/>
    <w:rsid w:val="0000610C"/>
    <w:rsid w:val="00012078"/>
    <w:rsid w:val="0001388E"/>
    <w:rsid w:val="000205E4"/>
    <w:rsid w:val="000213FF"/>
    <w:rsid w:val="00021A1E"/>
    <w:rsid w:val="000320A2"/>
    <w:rsid w:val="00040F89"/>
    <w:rsid w:val="0004119F"/>
    <w:rsid w:val="000458A1"/>
    <w:rsid w:val="00047152"/>
    <w:rsid w:val="000643C5"/>
    <w:rsid w:val="000710DB"/>
    <w:rsid w:val="000722AC"/>
    <w:rsid w:val="000728FB"/>
    <w:rsid w:val="00072908"/>
    <w:rsid w:val="00080979"/>
    <w:rsid w:val="00083902"/>
    <w:rsid w:val="00084B69"/>
    <w:rsid w:val="00084D67"/>
    <w:rsid w:val="00086C97"/>
    <w:rsid w:val="00096313"/>
    <w:rsid w:val="00097361"/>
    <w:rsid w:val="000A23A2"/>
    <w:rsid w:val="000B57F5"/>
    <w:rsid w:val="000B5ACC"/>
    <w:rsid w:val="000B63EB"/>
    <w:rsid w:val="000C0029"/>
    <w:rsid w:val="000C1610"/>
    <w:rsid w:val="000C6974"/>
    <w:rsid w:val="000E4A3A"/>
    <w:rsid w:val="000F07D8"/>
    <w:rsid w:val="000F1E67"/>
    <w:rsid w:val="00114B2F"/>
    <w:rsid w:val="00114E0A"/>
    <w:rsid w:val="00120601"/>
    <w:rsid w:val="00121F58"/>
    <w:rsid w:val="0012664E"/>
    <w:rsid w:val="00133B65"/>
    <w:rsid w:val="00150F15"/>
    <w:rsid w:val="001542B1"/>
    <w:rsid w:val="0016277D"/>
    <w:rsid w:val="00164989"/>
    <w:rsid w:val="00176A2F"/>
    <w:rsid w:val="001775BB"/>
    <w:rsid w:val="001A00A1"/>
    <w:rsid w:val="001A3861"/>
    <w:rsid w:val="001A5442"/>
    <w:rsid w:val="001B4709"/>
    <w:rsid w:val="001B6E5A"/>
    <w:rsid w:val="001C0B1A"/>
    <w:rsid w:val="001D0BE5"/>
    <w:rsid w:val="001D4794"/>
    <w:rsid w:val="001F7482"/>
    <w:rsid w:val="001F79FB"/>
    <w:rsid w:val="00201F47"/>
    <w:rsid w:val="00203299"/>
    <w:rsid w:val="00203C3E"/>
    <w:rsid w:val="00206132"/>
    <w:rsid w:val="002078C9"/>
    <w:rsid w:val="00207951"/>
    <w:rsid w:val="00210414"/>
    <w:rsid w:val="00211266"/>
    <w:rsid w:val="00211E47"/>
    <w:rsid w:val="002127CC"/>
    <w:rsid w:val="00213638"/>
    <w:rsid w:val="0021771E"/>
    <w:rsid w:val="00221B93"/>
    <w:rsid w:val="002379AA"/>
    <w:rsid w:val="00246FB1"/>
    <w:rsid w:val="0024716A"/>
    <w:rsid w:val="00251FD5"/>
    <w:rsid w:val="00256078"/>
    <w:rsid w:val="002562A9"/>
    <w:rsid w:val="00264019"/>
    <w:rsid w:val="00271500"/>
    <w:rsid w:val="002838D2"/>
    <w:rsid w:val="002849BB"/>
    <w:rsid w:val="00290050"/>
    <w:rsid w:val="002A4CAD"/>
    <w:rsid w:val="002B44F6"/>
    <w:rsid w:val="002B541E"/>
    <w:rsid w:val="002B693B"/>
    <w:rsid w:val="002C420D"/>
    <w:rsid w:val="002D3602"/>
    <w:rsid w:val="002F27FF"/>
    <w:rsid w:val="002F2CBC"/>
    <w:rsid w:val="002F64B9"/>
    <w:rsid w:val="003066F4"/>
    <w:rsid w:val="00306FDC"/>
    <w:rsid w:val="00307BA2"/>
    <w:rsid w:val="00312151"/>
    <w:rsid w:val="00315F07"/>
    <w:rsid w:val="003239D9"/>
    <w:rsid w:val="00323F68"/>
    <w:rsid w:val="00327073"/>
    <w:rsid w:val="003272A1"/>
    <w:rsid w:val="003315C7"/>
    <w:rsid w:val="00332567"/>
    <w:rsid w:val="003356CB"/>
    <w:rsid w:val="00346270"/>
    <w:rsid w:val="00353735"/>
    <w:rsid w:val="0035661E"/>
    <w:rsid w:val="00364604"/>
    <w:rsid w:val="0037229C"/>
    <w:rsid w:val="00386C1D"/>
    <w:rsid w:val="00387EBE"/>
    <w:rsid w:val="00391B18"/>
    <w:rsid w:val="00391E68"/>
    <w:rsid w:val="00392FE4"/>
    <w:rsid w:val="00393680"/>
    <w:rsid w:val="00394BF9"/>
    <w:rsid w:val="003A1E91"/>
    <w:rsid w:val="003A3154"/>
    <w:rsid w:val="003B1C13"/>
    <w:rsid w:val="003C087E"/>
    <w:rsid w:val="003C43C3"/>
    <w:rsid w:val="003D1D34"/>
    <w:rsid w:val="003D62B0"/>
    <w:rsid w:val="003D7F77"/>
    <w:rsid w:val="003F2A29"/>
    <w:rsid w:val="003F50FB"/>
    <w:rsid w:val="003F666D"/>
    <w:rsid w:val="003F7820"/>
    <w:rsid w:val="00413FE5"/>
    <w:rsid w:val="00426344"/>
    <w:rsid w:val="00432E49"/>
    <w:rsid w:val="00440792"/>
    <w:rsid w:val="004525DC"/>
    <w:rsid w:val="004571EB"/>
    <w:rsid w:val="00460BF8"/>
    <w:rsid w:val="004612F2"/>
    <w:rsid w:val="00463162"/>
    <w:rsid w:val="004754F6"/>
    <w:rsid w:val="00480BC7"/>
    <w:rsid w:val="00481BF1"/>
    <w:rsid w:val="004821D1"/>
    <w:rsid w:val="00486775"/>
    <w:rsid w:val="00491F07"/>
    <w:rsid w:val="00493BF8"/>
    <w:rsid w:val="00494B4E"/>
    <w:rsid w:val="004A0FEF"/>
    <w:rsid w:val="004A2C62"/>
    <w:rsid w:val="004A3145"/>
    <w:rsid w:val="004A5093"/>
    <w:rsid w:val="004B2113"/>
    <w:rsid w:val="004E398C"/>
    <w:rsid w:val="004E5C83"/>
    <w:rsid w:val="004F1FF5"/>
    <w:rsid w:val="004F6174"/>
    <w:rsid w:val="00515AD1"/>
    <w:rsid w:val="00516F1B"/>
    <w:rsid w:val="005228BB"/>
    <w:rsid w:val="0052344B"/>
    <w:rsid w:val="00534F56"/>
    <w:rsid w:val="0053555C"/>
    <w:rsid w:val="00535AA6"/>
    <w:rsid w:val="005377FA"/>
    <w:rsid w:val="00562AF0"/>
    <w:rsid w:val="00567B0A"/>
    <w:rsid w:val="00570A27"/>
    <w:rsid w:val="0057554A"/>
    <w:rsid w:val="005764AE"/>
    <w:rsid w:val="005918BA"/>
    <w:rsid w:val="00596F18"/>
    <w:rsid w:val="005B53F3"/>
    <w:rsid w:val="005C40CF"/>
    <w:rsid w:val="005C5AFD"/>
    <w:rsid w:val="005C6E87"/>
    <w:rsid w:val="005D0C91"/>
    <w:rsid w:val="005E2136"/>
    <w:rsid w:val="005F3B22"/>
    <w:rsid w:val="005F4BFE"/>
    <w:rsid w:val="005F6A69"/>
    <w:rsid w:val="005F6B1F"/>
    <w:rsid w:val="00606D23"/>
    <w:rsid w:val="00612B31"/>
    <w:rsid w:val="00623AD5"/>
    <w:rsid w:val="00624402"/>
    <w:rsid w:val="00624458"/>
    <w:rsid w:val="00624E61"/>
    <w:rsid w:val="006278B7"/>
    <w:rsid w:val="00630CC7"/>
    <w:rsid w:val="0063128C"/>
    <w:rsid w:val="00632A61"/>
    <w:rsid w:val="006352BB"/>
    <w:rsid w:val="006429EC"/>
    <w:rsid w:val="00643C65"/>
    <w:rsid w:val="00667F33"/>
    <w:rsid w:val="00671A25"/>
    <w:rsid w:val="006B4670"/>
    <w:rsid w:val="006C0AAF"/>
    <w:rsid w:val="006D1C76"/>
    <w:rsid w:val="006D396D"/>
    <w:rsid w:val="006D7CA5"/>
    <w:rsid w:val="006E6DD0"/>
    <w:rsid w:val="006F0E6C"/>
    <w:rsid w:val="006F7671"/>
    <w:rsid w:val="00722EB8"/>
    <w:rsid w:val="007326D6"/>
    <w:rsid w:val="00734F4A"/>
    <w:rsid w:val="00736F6B"/>
    <w:rsid w:val="00750106"/>
    <w:rsid w:val="00757BAD"/>
    <w:rsid w:val="00766530"/>
    <w:rsid w:val="00767F3C"/>
    <w:rsid w:val="00771587"/>
    <w:rsid w:val="00773454"/>
    <w:rsid w:val="00776546"/>
    <w:rsid w:val="0078658C"/>
    <w:rsid w:val="007941AD"/>
    <w:rsid w:val="007A5E13"/>
    <w:rsid w:val="007B5338"/>
    <w:rsid w:val="007D1403"/>
    <w:rsid w:val="007D57F6"/>
    <w:rsid w:val="007E157C"/>
    <w:rsid w:val="007E22D6"/>
    <w:rsid w:val="007E5074"/>
    <w:rsid w:val="007F5A5F"/>
    <w:rsid w:val="00804D0B"/>
    <w:rsid w:val="00807E41"/>
    <w:rsid w:val="0081565C"/>
    <w:rsid w:val="00817A40"/>
    <w:rsid w:val="00823310"/>
    <w:rsid w:val="00826291"/>
    <w:rsid w:val="00831644"/>
    <w:rsid w:val="0083624D"/>
    <w:rsid w:val="00837123"/>
    <w:rsid w:val="0084773C"/>
    <w:rsid w:val="00851233"/>
    <w:rsid w:val="0085303B"/>
    <w:rsid w:val="00860697"/>
    <w:rsid w:val="00863BCC"/>
    <w:rsid w:val="00864CC1"/>
    <w:rsid w:val="00873006"/>
    <w:rsid w:val="008734C4"/>
    <w:rsid w:val="008737AE"/>
    <w:rsid w:val="00893FFD"/>
    <w:rsid w:val="008A5611"/>
    <w:rsid w:val="008C0BD3"/>
    <w:rsid w:val="008C2CEF"/>
    <w:rsid w:val="008D30D5"/>
    <w:rsid w:val="008E6FB9"/>
    <w:rsid w:val="008F30E8"/>
    <w:rsid w:val="009214F3"/>
    <w:rsid w:val="009226A5"/>
    <w:rsid w:val="00926C7E"/>
    <w:rsid w:val="0093125B"/>
    <w:rsid w:val="009329F3"/>
    <w:rsid w:val="00934525"/>
    <w:rsid w:val="00937A77"/>
    <w:rsid w:val="0094026B"/>
    <w:rsid w:val="009429D6"/>
    <w:rsid w:val="009462CC"/>
    <w:rsid w:val="00954362"/>
    <w:rsid w:val="00954E7B"/>
    <w:rsid w:val="00964AC8"/>
    <w:rsid w:val="0096544F"/>
    <w:rsid w:val="009660A1"/>
    <w:rsid w:val="0097234B"/>
    <w:rsid w:val="00985F24"/>
    <w:rsid w:val="00987B87"/>
    <w:rsid w:val="009908AB"/>
    <w:rsid w:val="00994D06"/>
    <w:rsid w:val="009953B6"/>
    <w:rsid w:val="009A60B5"/>
    <w:rsid w:val="009B2456"/>
    <w:rsid w:val="009B33C1"/>
    <w:rsid w:val="009B4DCC"/>
    <w:rsid w:val="009B5101"/>
    <w:rsid w:val="009C2025"/>
    <w:rsid w:val="009C5948"/>
    <w:rsid w:val="009E5146"/>
    <w:rsid w:val="009F17ED"/>
    <w:rsid w:val="009F2D43"/>
    <w:rsid w:val="009F7606"/>
    <w:rsid w:val="00A03254"/>
    <w:rsid w:val="00A03EC2"/>
    <w:rsid w:val="00A0600B"/>
    <w:rsid w:val="00A07DF2"/>
    <w:rsid w:val="00A156BB"/>
    <w:rsid w:val="00A2628D"/>
    <w:rsid w:val="00A30682"/>
    <w:rsid w:val="00A36051"/>
    <w:rsid w:val="00A36D8A"/>
    <w:rsid w:val="00A41E98"/>
    <w:rsid w:val="00A54557"/>
    <w:rsid w:val="00A54C82"/>
    <w:rsid w:val="00A61916"/>
    <w:rsid w:val="00A75BE2"/>
    <w:rsid w:val="00A76033"/>
    <w:rsid w:val="00A80BC1"/>
    <w:rsid w:val="00A83285"/>
    <w:rsid w:val="00A85BB6"/>
    <w:rsid w:val="00A86F53"/>
    <w:rsid w:val="00A922D5"/>
    <w:rsid w:val="00AA19F7"/>
    <w:rsid w:val="00AB002C"/>
    <w:rsid w:val="00AB264D"/>
    <w:rsid w:val="00AD05E3"/>
    <w:rsid w:val="00AD70B3"/>
    <w:rsid w:val="00AD717E"/>
    <w:rsid w:val="00AE66ED"/>
    <w:rsid w:val="00AF481B"/>
    <w:rsid w:val="00AF4F1F"/>
    <w:rsid w:val="00AF6126"/>
    <w:rsid w:val="00AF76D8"/>
    <w:rsid w:val="00AF788D"/>
    <w:rsid w:val="00B109B4"/>
    <w:rsid w:val="00B33627"/>
    <w:rsid w:val="00B357CF"/>
    <w:rsid w:val="00B431A5"/>
    <w:rsid w:val="00B43361"/>
    <w:rsid w:val="00B43874"/>
    <w:rsid w:val="00B46980"/>
    <w:rsid w:val="00B5143A"/>
    <w:rsid w:val="00B57A3F"/>
    <w:rsid w:val="00B77045"/>
    <w:rsid w:val="00B85B9D"/>
    <w:rsid w:val="00B90BA8"/>
    <w:rsid w:val="00B97712"/>
    <w:rsid w:val="00BA6080"/>
    <w:rsid w:val="00BB6F79"/>
    <w:rsid w:val="00BC0E3D"/>
    <w:rsid w:val="00BC28D7"/>
    <w:rsid w:val="00BC5589"/>
    <w:rsid w:val="00BD23B4"/>
    <w:rsid w:val="00BE0914"/>
    <w:rsid w:val="00BE2DA1"/>
    <w:rsid w:val="00BE3C91"/>
    <w:rsid w:val="00BF2C79"/>
    <w:rsid w:val="00BF3D03"/>
    <w:rsid w:val="00BF5F1B"/>
    <w:rsid w:val="00BF723F"/>
    <w:rsid w:val="00C0797C"/>
    <w:rsid w:val="00C12E48"/>
    <w:rsid w:val="00C15381"/>
    <w:rsid w:val="00C16934"/>
    <w:rsid w:val="00C233F0"/>
    <w:rsid w:val="00C244F3"/>
    <w:rsid w:val="00C247ED"/>
    <w:rsid w:val="00C25DFB"/>
    <w:rsid w:val="00C3014D"/>
    <w:rsid w:val="00C32656"/>
    <w:rsid w:val="00C32709"/>
    <w:rsid w:val="00C56011"/>
    <w:rsid w:val="00C5629B"/>
    <w:rsid w:val="00C61EF9"/>
    <w:rsid w:val="00C62042"/>
    <w:rsid w:val="00C65DCF"/>
    <w:rsid w:val="00C66AB5"/>
    <w:rsid w:val="00C84CB5"/>
    <w:rsid w:val="00C9032A"/>
    <w:rsid w:val="00C91895"/>
    <w:rsid w:val="00C944CB"/>
    <w:rsid w:val="00C9567C"/>
    <w:rsid w:val="00C9577A"/>
    <w:rsid w:val="00CA0617"/>
    <w:rsid w:val="00CA49CD"/>
    <w:rsid w:val="00CB0727"/>
    <w:rsid w:val="00CB5625"/>
    <w:rsid w:val="00CC7B8B"/>
    <w:rsid w:val="00CD7206"/>
    <w:rsid w:val="00CE076C"/>
    <w:rsid w:val="00CF542D"/>
    <w:rsid w:val="00D02028"/>
    <w:rsid w:val="00D2017F"/>
    <w:rsid w:val="00D23F9E"/>
    <w:rsid w:val="00D30A9E"/>
    <w:rsid w:val="00D31FB7"/>
    <w:rsid w:val="00D34C7D"/>
    <w:rsid w:val="00D372CC"/>
    <w:rsid w:val="00D47873"/>
    <w:rsid w:val="00D50CDE"/>
    <w:rsid w:val="00D61C7B"/>
    <w:rsid w:val="00D63601"/>
    <w:rsid w:val="00D64C18"/>
    <w:rsid w:val="00D7276B"/>
    <w:rsid w:val="00D76D2B"/>
    <w:rsid w:val="00D93838"/>
    <w:rsid w:val="00D96367"/>
    <w:rsid w:val="00DA026B"/>
    <w:rsid w:val="00DA2AB3"/>
    <w:rsid w:val="00DA6A00"/>
    <w:rsid w:val="00DB1C59"/>
    <w:rsid w:val="00DB28BF"/>
    <w:rsid w:val="00DB33EF"/>
    <w:rsid w:val="00DC6A8B"/>
    <w:rsid w:val="00DE4EAB"/>
    <w:rsid w:val="00DF5BA1"/>
    <w:rsid w:val="00E00B18"/>
    <w:rsid w:val="00E00E61"/>
    <w:rsid w:val="00E1260E"/>
    <w:rsid w:val="00E15181"/>
    <w:rsid w:val="00E257BA"/>
    <w:rsid w:val="00E27623"/>
    <w:rsid w:val="00E47DC5"/>
    <w:rsid w:val="00E62923"/>
    <w:rsid w:val="00E713A1"/>
    <w:rsid w:val="00E71E40"/>
    <w:rsid w:val="00E72060"/>
    <w:rsid w:val="00E75DED"/>
    <w:rsid w:val="00E80147"/>
    <w:rsid w:val="00E8232F"/>
    <w:rsid w:val="00E84C67"/>
    <w:rsid w:val="00E94D6C"/>
    <w:rsid w:val="00EA00DE"/>
    <w:rsid w:val="00EB1E7D"/>
    <w:rsid w:val="00EB2137"/>
    <w:rsid w:val="00EB2F89"/>
    <w:rsid w:val="00EB4987"/>
    <w:rsid w:val="00EB7CBB"/>
    <w:rsid w:val="00EC13DA"/>
    <w:rsid w:val="00EC3796"/>
    <w:rsid w:val="00EC4AF2"/>
    <w:rsid w:val="00ED0572"/>
    <w:rsid w:val="00EE170A"/>
    <w:rsid w:val="00EF0C59"/>
    <w:rsid w:val="00EF0FE5"/>
    <w:rsid w:val="00EF4A64"/>
    <w:rsid w:val="00EF6051"/>
    <w:rsid w:val="00F07E64"/>
    <w:rsid w:val="00F10518"/>
    <w:rsid w:val="00F11B4C"/>
    <w:rsid w:val="00F15B41"/>
    <w:rsid w:val="00F300D0"/>
    <w:rsid w:val="00F327B5"/>
    <w:rsid w:val="00F35EB4"/>
    <w:rsid w:val="00F36F0E"/>
    <w:rsid w:val="00F4123E"/>
    <w:rsid w:val="00F5765B"/>
    <w:rsid w:val="00F62446"/>
    <w:rsid w:val="00F6356B"/>
    <w:rsid w:val="00F67D3B"/>
    <w:rsid w:val="00F76E5A"/>
    <w:rsid w:val="00F82D73"/>
    <w:rsid w:val="00F847D9"/>
    <w:rsid w:val="00F93A80"/>
    <w:rsid w:val="00F96F15"/>
    <w:rsid w:val="00FA2384"/>
    <w:rsid w:val="00FA4D8D"/>
    <w:rsid w:val="00FB00D4"/>
    <w:rsid w:val="00FB04BF"/>
    <w:rsid w:val="00FB2048"/>
    <w:rsid w:val="00FC1135"/>
    <w:rsid w:val="00FC71B2"/>
    <w:rsid w:val="00FD004B"/>
    <w:rsid w:val="00FE153E"/>
    <w:rsid w:val="00FE670D"/>
    <w:rsid w:val="00FE690F"/>
    <w:rsid w:val="00FF4622"/>
    <w:rsid w:val="00FF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50C3F"/>
  <w15:chartTrackingRefBased/>
  <w15:docId w15:val="{355FA965-B1E6-4572-8283-9F91C9F3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0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60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60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60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60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60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60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60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60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0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60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60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60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60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60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60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60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6051"/>
    <w:rPr>
      <w:rFonts w:eastAsiaTheme="majorEastAsia" w:cstheme="majorBidi"/>
      <w:color w:val="272727" w:themeColor="text1" w:themeTint="D8"/>
    </w:rPr>
  </w:style>
  <w:style w:type="paragraph" w:styleId="Title">
    <w:name w:val="Title"/>
    <w:basedOn w:val="Normal"/>
    <w:next w:val="Normal"/>
    <w:link w:val="TitleChar"/>
    <w:uiPriority w:val="10"/>
    <w:qFormat/>
    <w:rsid w:val="00EF60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60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60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60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6051"/>
    <w:pPr>
      <w:spacing w:before="160"/>
      <w:jc w:val="center"/>
    </w:pPr>
    <w:rPr>
      <w:i/>
      <w:iCs/>
      <w:color w:val="404040" w:themeColor="text1" w:themeTint="BF"/>
    </w:rPr>
  </w:style>
  <w:style w:type="character" w:customStyle="1" w:styleId="QuoteChar">
    <w:name w:val="Quote Char"/>
    <w:basedOn w:val="DefaultParagraphFont"/>
    <w:link w:val="Quote"/>
    <w:uiPriority w:val="29"/>
    <w:rsid w:val="00EF6051"/>
    <w:rPr>
      <w:i/>
      <w:iCs/>
      <w:color w:val="404040" w:themeColor="text1" w:themeTint="BF"/>
    </w:rPr>
  </w:style>
  <w:style w:type="paragraph" w:styleId="ListParagraph">
    <w:name w:val="List Paragraph"/>
    <w:basedOn w:val="Normal"/>
    <w:uiPriority w:val="34"/>
    <w:qFormat/>
    <w:rsid w:val="00EF6051"/>
    <w:pPr>
      <w:ind w:left="720"/>
      <w:contextualSpacing/>
    </w:pPr>
  </w:style>
  <w:style w:type="character" w:styleId="IntenseEmphasis">
    <w:name w:val="Intense Emphasis"/>
    <w:basedOn w:val="DefaultParagraphFont"/>
    <w:uiPriority w:val="21"/>
    <w:qFormat/>
    <w:rsid w:val="00EF6051"/>
    <w:rPr>
      <w:i/>
      <w:iCs/>
      <w:color w:val="0F4761" w:themeColor="accent1" w:themeShade="BF"/>
    </w:rPr>
  </w:style>
  <w:style w:type="paragraph" w:styleId="IntenseQuote">
    <w:name w:val="Intense Quote"/>
    <w:basedOn w:val="Normal"/>
    <w:next w:val="Normal"/>
    <w:link w:val="IntenseQuoteChar"/>
    <w:uiPriority w:val="30"/>
    <w:qFormat/>
    <w:rsid w:val="00EF60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6051"/>
    <w:rPr>
      <w:i/>
      <w:iCs/>
      <w:color w:val="0F4761" w:themeColor="accent1" w:themeShade="BF"/>
    </w:rPr>
  </w:style>
  <w:style w:type="character" w:styleId="IntenseReference">
    <w:name w:val="Intense Reference"/>
    <w:basedOn w:val="DefaultParagraphFont"/>
    <w:uiPriority w:val="32"/>
    <w:qFormat/>
    <w:rsid w:val="00EF60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877291">
      <w:bodyDiv w:val="1"/>
      <w:marLeft w:val="0"/>
      <w:marRight w:val="0"/>
      <w:marTop w:val="0"/>
      <w:marBottom w:val="0"/>
      <w:divBdr>
        <w:top w:val="none" w:sz="0" w:space="0" w:color="auto"/>
        <w:left w:val="none" w:sz="0" w:space="0" w:color="auto"/>
        <w:bottom w:val="none" w:sz="0" w:space="0" w:color="auto"/>
        <w:right w:val="none" w:sz="0" w:space="0" w:color="auto"/>
      </w:divBdr>
      <w:divsChild>
        <w:div w:id="392973928">
          <w:marLeft w:val="0"/>
          <w:marRight w:val="0"/>
          <w:marTop w:val="0"/>
          <w:marBottom w:val="0"/>
          <w:divBdr>
            <w:top w:val="none" w:sz="0" w:space="0" w:color="auto"/>
            <w:left w:val="none" w:sz="0" w:space="0" w:color="auto"/>
            <w:bottom w:val="none" w:sz="0" w:space="0" w:color="auto"/>
            <w:right w:val="none" w:sz="0" w:space="0" w:color="auto"/>
          </w:divBdr>
          <w:divsChild>
            <w:div w:id="688875498">
              <w:marLeft w:val="0"/>
              <w:marRight w:val="0"/>
              <w:marTop w:val="0"/>
              <w:marBottom w:val="0"/>
              <w:divBdr>
                <w:top w:val="none" w:sz="0" w:space="0" w:color="auto"/>
                <w:left w:val="none" w:sz="0" w:space="0" w:color="auto"/>
                <w:bottom w:val="none" w:sz="0" w:space="0" w:color="auto"/>
                <w:right w:val="none" w:sz="0" w:space="0" w:color="auto"/>
              </w:divBdr>
            </w:div>
            <w:div w:id="770662194">
              <w:marLeft w:val="0"/>
              <w:marRight w:val="0"/>
              <w:marTop w:val="150"/>
              <w:marBottom w:val="0"/>
              <w:divBdr>
                <w:top w:val="none" w:sz="0" w:space="0" w:color="auto"/>
                <w:left w:val="none" w:sz="0" w:space="0" w:color="auto"/>
                <w:bottom w:val="none" w:sz="0" w:space="0" w:color="auto"/>
                <w:right w:val="none" w:sz="0" w:space="0" w:color="auto"/>
              </w:divBdr>
            </w:div>
          </w:divsChild>
        </w:div>
        <w:div w:id="503130094">
          <w:marLeft w:val="0"/>
          <w:marRight w:val="0"/>
          <w:marTop w:val="0"/>
          <w:marBottom w:val="0"/>
          <w:divBdr>
            <w:top w:val="none" w:sz="0" w:space="0" w:color="auto"/>
            <w:left w:val="none" w:sz="0" w:space="0" w:color="auto"/>
            <w:bottom w:val="none" w:sz="0" w:space="0" w:color="auto"/>
            <w:right w:val="none" w:sz="0" w:space="0" w:color="auto"/>
          </w:divBdr>
          <w:divsChild>
            <w:div w:id="1329401120">
              <w:marLeft w:val="0"/>
              <w:marRight w:val="225"/>
              <w:marTop w:val="0"/>
              <w:marBottom w:val="0"/>
              <w:divBdr>
                <w:top w:val="none" w:sz="0" w:space="0" w:color="auto"/>
                <w:left w:val="none" w:sz="0" w:space="0" w:color="auto"/>
                <w:bottom w:val="none" w:sz="0" w:space="0" w:color="auto"/>
                <w:right w:val="none" w:sz="0" w:space="0" w:color="auto"/>
              </w:divBdr>
              <w:divsChild>
                <w:div w:id="1828550585">
                  <w:marLeft w:val="0"/>
                  <w:marRight w:val="0"/>
                  <w:marTop w:val="0"/>
                  <w:marBottom w:val="0"/>
                  <w:divBdr>
                    <w:top w:val="none" w:sz="0" w:space="0" w:color="auto"/>
                    <w:left w:val="none" w:sz="0" w:space="0" w:color="auto"/>
                    <w:bottom w:val="none" w:sz="0" w:space="0" w:color="auto"/>
                    <w:right w:val="none" w:sz="0" w:space="0" w:color="auto"/>
                  </w:divBdr>
                  <w:divsChild>
                    <w:div w:id="233050567">
                      <w:marLeft w:val="0"/>
                      <w:marRight w:val="0"/>
                      <w:marTop w:val="0"/>
                      <w:marBottom w:val="0"/>
                      <w:divBdr>
                        <w:top w:val="none" w:sz="0" w:space="0" w:color="auto"/>
                        <w:left w:val="none" w:sz="0" w:space="0" w:color="auto"/>
                        <w:bottom w:val="none" w:sz="0" w:space="0" w:color="auto"/>
                        <w:right w:val="none" w:sz="0" w:space="0" w:color="auto"/>
                      </w:divBdr>
                    </w:div>
                    <w:div w:id="2115854494">
                      <w:marLeft w:val="0"/>
                      <w:marRight w:val="0"/>
                      <w:marTop w:val="0"/>
                      <w:marBottom w:val="0"/>
                      <w:divBdr>
                        <w:top w:val="none" w:sz="0" w:space="0" w:color="auto"/>
                        <w:left w:val="none" w:sz="0" w:space="0" w:color="auto"/>
                        <w:bottom w:val="none" w:sz="0" w:space="0" w:color="auto"/>
                        <w:right w:val="none" w:sz="0" w:space="0" w:color="auto"/>
                      </w:divBdr>
                    </w:div>
                    <w:div w:id="1161198153">
                      <w:marLeft w:val="0"/>
                      <w:marRight w:val="0"/>
                      <w:marTop w:val="0"/>
                      <w:marBottom w:val="0"/>
                      <w:divBdr>
                        <w:top w:val="none" w:sz="0" w:space="0" w:color="auto"/>
                        <w:left w:val="none" w:sz="0" w:space="0" w:color="auto"/>
                        <w:bottom w:val="none" w:sz="0" w:space="0" w:color="auto"/>
                        <w:right w:val="none" w:sz="0" w:space="0" w:color="auto"/>
                      </w:divBdr>
                    </w:div>
                  </w:divsChild>
                </w:div>
                <w:div w:id="828057965">
                  <w:marLeft w:val="0"/>
                  <w:marRight w:val="0"/>
                  <w:marTop w:val="0"/>
                  <w:marBottom w:val="0"/>
                  <w:divBdr>
                    <w:top w:val="none" w:sz="0" w:space="0" w:color="auto"/>
                    <w:left w:val="none" w:sz="0" w:space="0" w:color="auto"/>
                    <w:bottom w:val="none" w:sz="0" w:space="0" w:color="auto"/>
                    <w:right w:val="none" w:sz="0" w:space="0" w:color="auto"/>
                  </w:divBdr>
                </w:div>
              </w:divsChild>
            </w:div>
            <w:div w:id="2966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J Spadea</dc:creator>
  <cp:keywords/>
  <dc:description/>
  <cp:lastModifiedBy>Gregory J Spadea</cp:lastModifiedBy>
  <cp:revision>3</cp:revision>
  <dcterms:created xsi:type="dcterms:W3CDTF">2025-05-07T19:55:00Z</dcterms:created>
  <dcterms:modified xsi:type="dcterms:W3CDTF">2025-05-07T23:24:00Z</dcterms:modified>
</cp:coreProperties>
</file>